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9D" w:rsidRDefault="00AC635C" w:rsidP="00C75751">
      <w:pPr>
        <w:pStyle w:val="Ttulo2"/>
      </w:pPr>
      <w:r>
        <w:t xml:space="preserve">TEMA 38: FINANCIACIÓN DE LAS CCAA. LRHL. SISTEMA TRIBUTARIO LOCAL. IAE.   </w:t>
      </w:r>
    </w:p>
    <w:p w:rsidR="00C75751" w:rsidRPr="00C75751" w:rsidRDefault="00C75751" w:rsidP="00C75751"/>
    <w:p w:rsidR="00A06C9D" w:rsidRDefault="00AC635C" w:rsidP="00A06C9D">
      <w:pPr>
        <w:pStyle w:val="Prrafodelista"/>
        <w:numPr>
          <w:ilvl w:val="0"/>
          <w:numId w:val="27"/>
        </w:numPr>
        <w:rPr>
          <w:b/>
        </w:rPr>
      </w:pPr>
      <w:r>
        <w:rPr>
          <w:b/>
        </w:rPr>
        <w:t>LA FINANCIACIÓN DE LAS CCAA</w:t>
      </w:r>
    </w:p>
    <w:p w:rsidR="00273165" w:rsidRDefault="00273165" w:rsidP="00273165">
      <w:pPr>
        <w:pStyle w:val="Prrafodelista"/>
        <w:ind w:left="644"/>
      </w:pPr>
      <w:r>
        <w:t>NORMATIVA</w:t>
      </w:r>
    </w:p>
    <w:p w:rsidR="009128C3" w:rsidRDefault="00AC635C" w:rsidP="00273165">
      <w:pPr>
        <w:pStyle w:val="Prrafodelista"/>
        <w:ind w:left="644"/>
        <w:jc w:val="both"/>
      </w:pPr>
      <w:r>
        <w:t>La normativa básica reguladora del sistema de financiación de las CCAA es la siguiente:</w:t>
      </w:r>
    </w:p>
    <w:p w:rsidR="00AC635C" w:rsidRDefault="00AC635C" w:rsidP="00AC635C">
      <w:pPr>
        <w:pStyle w:val="Prrafodelista"/>
        <w:numPr>
          <w:ilvl w:val="0"/>
          <w:numId w:val="38"/>
        </w:numPr>
        <w:jc w:val="both"/>
      </w:pPr>
      <w:r>
        <w:t>Artículos 156 y 157 de la Constitución</w:t>
      </w:r>
    </w:p>
    <w:p w:rsidR="00AC635C" w:rsidRDefault="00AC635C" w:rsidP="00AC635C">
      <w:pPr>
        <w:pStyle w:val="Prrafodelista"/>
        <w:numPr>
          <w:ilvl w:val="0"/>
          <w:numId w:val="38"/>
        </w:numPr>
        <w:jc w:val="both"/>
      </w:pPr>
      <w:r>
        <w:t>Ley Orgánica 8/1980, de 22 de septiembre, de financiación de las CCAA (LOFCA)</w:t>
      </w:r>
    </w:p>
    <w:p w:rsidR="00AC635C" w:rsidRDefault="00AC635C" w:rsidP="00FF753F">
      <w:pPr>
        <w:pStyle w:val="Prrafodelista"/>
        <w:numPr>
          <w:ilvl w:val="0"/>
          <w:numId w:val="38"/>
        </w:numPr>
        <w:jc w:val="both"/>
      </w:pPr>
      <w:r>
        <w:t>Ley 22/2009, de 18 de diciembre reguladora de las CCAA de régimen común (todas excepto País Vasco y Navarra) y ciudades con estatuto de autonomía (Ceuta y Melilla)</w:t>
      </w:r>
    </w:p>
    <w:p w:rsidR="006C4A18" w:rsidRDefault="00FF753F" w:rsidP="00FF753F">
      <w:pPr>
        <w:ind w:left="644"/>
        <w:jc w:val="both"/>
      </w:pPr>
      <w:r>
        <w:t>PRINCIPIOS DE DINANCIACIÓN DE LAS CCAA</w:t>
      </w:r>
    </w:p>
    <w:p w:rsidR="00FF753F" w:rsidRDefault="00FF753F" w:rsidP="00FF753F">
      <w:pPr>
        <w:pStyle w:val="Prrafodelista"/>
        <w:numPr>
          <w:ilvl w:val="0"/>
          <w:numId w:val="38"/>
        </w:numPr>
        <w:jc w:val="both"/>
      </w:pPr>
      <w:r>
        <w:t>Principio de Autonomía (Art. 156.1 CE): Las CCAA gozan de autonomía financiera para el desarrollo y ejecución de sus competencias.</w:t>
      </w:r>
    </w:p>
    <w:p w:rsidR="00FF753F" w:rsidRDefault="00FF753F" w:rsidP="00FF753F">
      <w:pPr>
        <w:pStyle w:val="Prrafodelista"/>
        <w:numPr>
          <w:ilvl w:val="0"/>
          <w:numId w:val="38"/>
        </w:numPr>
        <w:jc w:val="both"/>
      </w:pPr>
      <w:r>
        <w:t>Principio de Suficiencia (Art. 2.1.f LOFCA): Las CCAA dispondrán de los instrumentos o mecanismos necesarios para allegar recursos suficientes con los que hacer frente a las competencias que se les reconozcan.</w:t>
      </w:r>
    </w:p>
    <w:p w:rsidR="00FF753F" w:rsidRDefault="00FF753F" w:rsidP="00FF753F">
      <w:pPr>
        <w:pStyle w:val="Prrafodelista"/>
        <w:numPr>
          <w:ilvl w:val="0"/>
          <w:numId w:val="38"/>
        </w:numPr>
        <w:jc w:val="both"/>
      </w:pPr>
      <w:r>
        <w:t>Principio de solidaridad entre las diversas nacionalidades y regiones (art. 158.2 CE)</w:t>
      </w:r>
    </w:p>
    <w:p w:rsidR="00FF753F" w:rsidRDefault="00FF753F" w:rsidP="00FF753F">
      <w:pPr>
        <w:ind w:left="644"/>
        <w:jc w:val="both"/>
      </w:pPr>
      <w:r>
        <w:t>RECURSOS FINA</w:t>
      </w:r>
      <w:r w:rsidR="00AC02F7">
        <w:t>NCIEROS DE LAS CCAA (ART. 157 CE</w:t>
      </w:r>
      <w:r>
        <w:t>)</w:t>
      </w:r>
    </w:p>
    <w:p w:rsidR="00FF753F" w:rsidRDefault="00AC02F7" w:rsidP="00FF753F">
      <w:pPr>
        <w:ind w:left="644"/>
        <w:jc w:val="both"/>
      </w:pPr>
      <w:r>
        <w:t>Según el artículo 157 de la CE, los recursos de las CCAA son:</w:t>
      </w:r>
    </w:p>
    <w:p w:rsidR="00AC02F7" w:rsidRDefault="00AC02F7" w:rsidP="00AC02F7">
      <w:pPr>
        <w:pStyle w:val="Prrafodelista"/>
        <w:numPr>
          <w:ilvl w:val="0"/>
          <w:numId w:val="39"/>
        </w:numPr>
        <w:jc w:val="both"/>
      </w:pPr>
      <w:r>
        <w:t>Impuestos cedidos total o parcialmente por el Estado, recargos sobre impuestos estatales y otras participaciones en los ingresos del Estado.</w:t>
      </w:r>
    </w:p>
    <w:p w:rsidR="00AC02F7" w:rsidRDefault="00AC02F7" w:rsidP="00AC02F7">
      <w:pPr>
        <w:pStyle w:val="Prrafodelista"/>
        <w:numPr>
          <w:ilvl w:val="0"/>
          <w:numId w:val="39"/>
        </w:numPr>
        <w:jc w:val="both"/>
      </w:pPr>
      <w:r>
        <w:t>Su propios impuestos, tasas y contribuciones especiales (Tributos propios)</w:t>
      </w:r>
    </w:p>
    <w:p w:rsidR="00AC02F7" w:rsidRDefault="00AC02F7" w:rsidP="00AC02F7">
      <w:pPr>
        <w:pStyle w:val="Prrafodelista"/>
        <w:numPr>
          <w:ilvl w:val="0"/>
          <w:numId w:val="39"/>
        </w:numPr>
        <w:jc w:val="both"/>
      </w:pPr>
      <w:r>
        <w:t>Transferencia del Fondo de Compensación interterritorial y otras asignaciones con cargo a los PGE</w:t>
      </w:r>
    </w:p>
    <w:p w:rsidR="00AC02F7" w:rsidRDefault="00AC02F7" w:rsidP="00AC02F7">
      <w:pPr>
        <w:pStyle w:val="Prrafodelista"/>
        <w:numPr>
          <w:ilvl w:val="0"/>
          <w:numId w:val="39"/>
        </w:numPr>
        <w:jc w:val="both"/>
      </w:pPr>
      <w:r>
        <w:t>Rendimientos procedentes de su patrimonio e ingresos de derecho privado</w:t>
      </w:r>
    </w:p>
    <w:p w:rsidR="00AC02F7" w:rsidRDefault="00AC02F7" w:rsidP="00AC02F7">
      <w:pPr>
        <w:pStyle w:val="Prrafodelista"/>
        <w:numPr>
          <w:ilvl w:val="0"/>
          <w:numId w:val="39"/>
        </w:numPr>
        <w:jc w:val="both"/>
      </w:pPr>
      <w:r>
        <w:t>El producto  de las operaciones de crédito.</w:t>
      </w:r>
    </w:p>
    <w:p w:rsidR="00AC02F7" w:rsidRDefault="00AC02F7" w:rsidP="00AC02F7">
      <w:pPr>
        <w:ind w:left="644"/>
        <w:jc w:val="both"/>
      </w:pPr>
      <w:r>
        <w:t>LOS FONDOS DE COMPENSACIÓN INTERTERRITORIAL</w:t>
      </w:r>
    </w:p>
    <w:p w:rsidR="00AC02F7" w:rsidRDefault="00AC02F7" w:rsidP="00AC02F7">
      <w:pPr>
        <w:ind w:left="644"/>
        <w:jc w:val="both"/>
      </w:pPr>
      <w:r>
        <w:t xml:space="preserve">El artículo 16 de la LOFCA establece que de conformidad con el principio de solidaridad </w:t>
      </w:r>
      <w:r w:rsidR="008B59AD">
        <w:t>interterritorial establecido en el art. 158.2 de la CE, en los PGE se dotará anualmente un fondo de compensación, cuyos recursos tienen el carácter de carga general del Estado y que se distribuirá por las Cortes Generales entre las CCAA y ciudades autónomas. Además, con independencia del fondo de compensación aludido, en los PGE también se dotará anualmente un fondo complementario, cuyos recursos tendrán asimismo el carác</w:t>
      </w:r>
      <w:r w:rsidR="00046B9A">
        <w:t>ter de carga general del Estado.</w:t>
      </w:r>
    </w:p>
    <w:p w:rsidR="00046B9A" w:rsidRDefault="00046B9A" w:rsidP="00AC02F7">
      <w:pPr>
        <w:ind w:left="644"/>
        <w:jc w:val="both"/>
      </w:pPr>
      <w:r>
        <w:t>El fondo de compensación se dotará con una cantidad no inferior al 22,5% de la Inversión Pública</w:t>
      </w:r>
      <w:r w:rsidR="009A59B5">
        <w:t>.</w:t>
      </w:r>
    </w:p>
    <w:p w:rsidR="009A59B5" w:rsidRDefault="009A59B5" w:rsidP="00AC02F7">
      <w:pPr>
        <w:ind w:left="644"/>
        <w:jc w:val="both"/>
      </w:pPr>
    </w:p>
    <w:p w:rsidR="009A59B5" w:rsidRDefault="009A59B5" w:rsidP="00AC02F7">
      <w:pPr>
        <w:ind w:left="644"/>
        <w:jc w:val="both"/>
      </w:pPr>
      <w:r>
        <w:lastRenderedPageBreak/>
        <w:t>La distribución del fondo de compensación a las CCAA perceptoras del mismo se efectuará de acuerdo con los siguientes porcentajes:</w:t>
      </w:r>
    </w:p>
    <w:p w:rsidR="009A59B5" w:rsidRDefault="009A59B5" w:rsidP="009A59B5">
      <w:pPr>
        <w:pStyle w:val="Prrafodelista"/>
        <w:numPr>
          <w:ilvl w:val="0"/>
          <w:numId w:val="38"/>
        </w:numPr>
        <w:jc w:val="both"/>
      </w:pPr>
      <w:r>
        <w:t>El 87,5 %  de forma directamente proporcional a la población relativa</w:t>
      </w:r>
    </w:p>
    <w:p w:rsidR="009A59B5" w:rsidRDefault="009A59B5" w:rsidP="009A59B5">
      <w:pPr>
        <w:pStyle w:val="Prrafodelista"/>
        <w:numPr>
          <w:ilvl w:val="0"/>
          <w:numId w:val="38"/>
        </w:numPr>
        <w:jc w:val="both"/>
      </w:pPr>
      <w:r>
        <w:t>El 1,6% de forma directamente proporcional al saldo migratorio</w:t>
      </w:r>
    </w:p>
    <w:p w:rsidR="009A59B5" w:rsidRDefault="009A59B5" w:rsidP="009A59B5">
      <w:pPr>
        <w:pStyle w:val="Prrafodelista"/>
        <w:numPr>
          <w:ilvl w:val="0"/>
          <w:numId w:val="38"/>
        </w:numPr>
        <w:jc w:val="both"/>
      </w:pPr>
      <w:r>
        <w:t>El 1% de forma directamente proporcional al paro</w:t>
      </w:r>
    </w:p>
    <w:p w:rsidR="009A59B5" w:rsidRDefault="009A59B5" w:rsidP="009A59B5">
      <w:pPr>
        <w:pStyle w:val="Prrafodelista"/>
        <w:numPr>
          <w:ilvl w:val="0"/>
          <w:numId w:val="38"/>
        </w:numPr>
        <w:jc w:val="both"/>
      </w:pPr>
      <w:r>
        <w:t>El 3% de forma directamente proporcional a la superficie de cada territorio</w:t>
      </w:r>
    </w:p>
    <w:p w:rsidR="009A59B5" w:rsidRDefault="009A59B5" w:rsidP="009A59B5">
      <w:pPr>
        <w:pStyle w:val="Prrafodelista"/>
        <w:numPr>
          <w:ilvl w:val="0"/>
          <w:numId w:val="38"/>
        </w:numPr>
        <w:jc w:val="both"/>
      </w:pPr>
      <w:r>
        <w:t>El 6,9% de forma directamente proporcional a la dispersión de la población en el territorio.</w:t>
      </w:r>
    </w:p>
    <w:p w:rsidR="009A59B5" w:rsidRDefault="009A59B5" w:rsidP="009A59B5">
      <w:pPr>
        <w:ind w:left="644"/>
        <w:jc w:val="both"/>
      </w:pPr>
      <w:r>
        <w:t>Una vez efectuado el reparto del fondo de compensación, el resultado obtenido se corregirá con los siguientes criterios:</w:t>
      </w:r>
    </w:p>
    <w:p w:rsidR="009A59B5" w:rsidRDefault="009A59B5" w:rsidP="009A59B5">
      <w:pPr>
        <w:pStyle w:val="Prrafodelista"/>
        <w:numPr>
          <w:ilvl w:val="0"/>
          <w:numId w:val="38"/>
        </w:numPr>
        <w:jc w:val="both"/>
      </w:pPr>
      <w:r>
        <w:t>La inversa de la renta por habitante de cada territorio</w:t>
      </w:r>
    </w:p>
    <w:p w:rsidR="009A59B5" w:rsidRDefault="009A59B5" w:rsidP="009A59B5">
      <w:pPr>
        <w:pStyle w:val="Prrafodelista"/>
        <w:numPr>
          <w:ilvl w:val="0"/>
          <w:numId w:val="38"/>
        </w:numPr>
        <w:jc w:val="both"/>
      </w:pPr>
      <w:r>
        <w:t>La insularidad</w:t>
      </w:r>
    </w:p>
    <w:p w:rsidR="00545DF1" w:rsidRDefault="009A59B5" w:rsidP="0080123A">
      <w:pPr>
        <w:ind w:left="644"/>
        <w:jc w:val="both"/>
      </w:pPr>
      <w:r>
        <w:t xml:space="preserve">De igual forma el fondo complementario se dotará anualmente para CCAA y ciudad con estatuto de autonomía </w:t>
      </w:r>
      <w:r w:rsidR="003A01B5">
        <w:t>con una cantidad equivalente al 33,33% del respectivo fondo de compensación. Dicha cuantía se destinará a gastos de inversión u ocasionalmente a gastos de funcionamiento asociados a inversiones.</w:t>
      </w:r>
    </w:p>
    <w:p w:rsidR="00BC5433" w:rsidRDefault="003A01B5" w:rsidP="0080123A">
      <w:pPr>
        <w:pStyle w:val="Prrafodelista"/>
        <w:ind w:left="644"/>
        <w:jc w:val="both"/>
      </w:pPr>
      <w:r w:rsidRPr="0080123A">
        <w:t>TRIBUTOS PROPIOS</w:t>
      </w:r>
    </w:p>
    <w:p w:rsidR="00BC5433" w:rsidRDefault="00BC5433" w:rsidP="003A01B5">
      <w:pPr>
        <w:pStyle w:val="Prrafodelista"/>
        <w:ind w:left="644"/>
        <w:jc w:val="both"/>
      </w:pPr>
      <w:r>
        <w:t>Podemos definir los tributos propios de las CCAA como aquellos cuyo establecimiento es aprobado por la asamblea legislativa de la respectiva comunidad autónoma.</w:t>
      </w:r>
    </w:p>
    <w:p w:rsidR="00BC5433" w:rsidRDefault="00BC5433" w:rsidP="00BC5433">
      <w:pPr>
        <w:pStyle w:val="Prrafodelista"/>
        <w:ind w:left="644"/>
        <w:jc w:val="both"/>
      </w:pPr>
      <w:r>
        <w:t>Límites de los tributos propios: No podrán recaer sobre hechos imponibles gravados por el Estado y no podrán recaer sobre hechos imponibles gravados por los tributos locales sin la debida coordinación y compensación a las entidades locales afectadas.</w:t>
      </w:r>
    </w:p>
    <w:p w:rsidR="00BC5433" w:rsidRPr="00BC5433" w:rsidRDefault="00BC5433" w:rsidP="00BC5433">
      <w:pPr>
        <w:pStyle w:val="Prrafodelista"/>
        <w:ind w:left="644"/>
        <w:jc w:val="both"/>
      </w:pPr>
      <w:r>
        <w:t>Los tributos propios de las CCAA se clasifican en Tasas, Contribuciones Especiales e Impuestos.</w:t>
      </w:r>
    </w:p>
    <w:p w:rsidR="00BC5433" w:rsidRDefault="00BC5433" w:rsidP="003A01B5">
      <w:pPr>
        <w:pStyle w:val="Prrafodelista"/>
        <w:ind w:left="644"/>
        <w:jc w:val="both"/>
      </w:pPr>
      <w:r>
        <w:t xml:space="preserve">Además de los límites generales para todos los tributos propios antes mencionados, los impuestos no podrán: </w:t>
      </w:r>
    </w:p>
    <w:p w:rsidR="003A01B5" w:rsidRDefault="00BC5433" w:rsidP="00BC5433">
      <w:pPr>
        <w:pStyle w:val="Prrafodelista"/>
        <w:numPr>
          <w:ilvl w:val="0"/>
          <w:numId w:val="38"/>
        </w:numPr>
        <w:jc w:val="both"/>
      </w:pPr>
      <w:r>
        <w:t>Sujetar elementos patrimoniales situados, rendimientos generados, ni gastos realizados fuera del territorio de la respectiva comunidad autónoma</w:t>
      </w:r>
    </w:p>
    <w:p w:rsidR="00BC5433" w:rsidRDefault="00BC5433" w:rsidP="00BC5433">
      <w:pPr>
        <w:pStyle w:val="Prrafodelista"/>
        <w:numPr>
          <w:ilvl w:val="0"/>
          <w:numId w:val="38"/>
        </w:numPr>
        <w:jc w:val="both"/>
      </w:pPr>
      <w:r>
        <w:t xml:space="preserve">Gravar hechos actos o negocios celebrados fuera del territorio de la comunidad autónoma, ni la transmisión de bienes, derechos y obligaciones que no hayan nacido </w:t>
      </w:r>
      <w:r w:rsidR="0080123A">
        <w:t>ni hubieran de cumplirse en dicho territorio cuyo adquirente no resida en el mismo.</w:t>
      </w:r>
    </w:p>
    <w:p w:rsidR="0080123A" w:rsidRDefault="0080123A" w:rsidP="00BC5433">
      <w:pPr>
        <w:pStyle w:val="Prrafodelista"/>
        <w:numPr>
          <w:ilvl w:val="0"/>
          <w:numId w:val="38"/>
        </w:numPr>
        <w:jc w:val="both"/>
      </w:pPr>
      <w:r>
        <w:t>Suponer un obstáculo a la libre circulación de personas, mercancías y servicios, ni afectar a la fijación de residencia</w:t>
      </w:r>
    </w:p>
    <w:p w:rsidR="003A01B5" w:rsidRDefault="0080123A" w:rsidP="0080123A">
      <w:pPr>
        <w:pStyle w:val="Prrafodelista"/>
        <w:numPr>
          <w:ilvl w:val="0"/>
          <w:numId w:val="38"/>
        </w:numPr>
        <w:jc w:val="both"/>
      </w:pPr>
      <w:r>
        <w:t>Trasladar el importe de la exacción al territorio de otra comunidad autónoma.</w:t>
      </w:r>
    </w:p>
    <w:p w:rsidR="0080123A" w:rsidRDefault="0080123A" w:rsidP="0080123A">
      <w:pPr>
        <w:pStyle w:val="Prrafodelista"/>
        <w:ind w:left="1004"/>
        <w:jc w:val="both"/>
      </w:pPr>
    </w:p>
    <w:p w:rsidR="00DC682F" w:rsidRDefault="0080123A" w:rsidP="0080123A">
      <w:pPr>
        <w:pStyle w:val="Prrafodelista"/>
        <w:ind w:left="644"/>
        <w:jc w:val="both"/>
      </w:pPr>
      <w:r w:rsidRPr="0080123A">
        <w:t>TRIBUTOS CEDIDOS</w:t>
      </w:r>
    </w:p>
    <w:p w:rsidR="0080123A" w:rsidRDefault="0080123A" w:rsidP="0080123A">
      <w:pPr>
        <w:pStyle w:val="Prrafodelista"/>
        <w:ind w:left="644"/>
        <w:jc w:val="both"/>
      </w:pPr>
      <w:r>
        <w:t xml:space="preserve">El artículo 11 de la LOFCA dispone que solo </w:t>
      </w:r>
      <w:proofErr w:type="gramStart"/>
      <w:r>
        <w:t>pueden</w:t>
      </w:r>
      <w:proofErr w:type="gramEnd"/>
      <w:r>
        <w:t xml:space="preserve"> ser cedidos a las CCAA los siguientes tributos:</w:t>
      </w:r>
    </w:p>
    <w:p w:rsidR="0080123A" w:rsidRDefault="0080123A" w:rsidP="0080123A">
      <w:pPr>
        <w:pStyle w:val="Prrafodelista"/>
        <w:numPr>
          <w:ilvl w:val="0"/>
          <w:numId w:val="40"/>
        </w:numPr>
        <w:jc w:val="both"/>
      </w:pPr>
      <w:r>
        <w:t>IRPF, con carácter parcial con el límite máximo del 50%</w:t>
      </w:r>
    </w:p>
    <w:p w:rsidR="0080123A" w:rsidRDefault="0080123A" w:rsidP="0080123A">
      <w:pPr>
        <w:pStyle w:val="Prrafodelista"/>
        <w:numPr>
          <w:ilvl w:val="0"/>
          <w:numId w:val="40"/>
        </w:numPr>
        <w:jc w:val="both"/>
      </w:pPr>
      <w:r>
        <w:t>Impuesto sobre el patrimonio</w:t>
      </w:r>
    </w:p>
    <w:p w:rsidR="0080123A" w:rsidRDefault="0080123A" w:rsidP="0080123A">
      <w:pPr>
        <w:pStyle w:val="Prrafodelista"/>
        <w:numPr>
          <w:ilvl w:val="0"/>
          <w:numId w:val="40"/>
        </w:numPr>
        <w:jc w:val="both"/>
      </w:pPr>
      <w:r>
        <w:t>ITP y AJD</w:t>
      </w:r>
    </w:p>
    <w:p w:rsidR="0080123A" w:rsidRDefault="0080123A" w:rsidP="0080123A">
      <w:pPr>
        <w:pStyle w:val="Prrafodelista"/>
        <w:numPr>
          <w:ilvl w:val="0"/>
          <w:numId w:val="40"/>
        </w:numPr>
        <w:jc w:val="both"/>
      </w:pPr>
      <w:r>
        <w:lastRenderedPageBreak/>
        <w:t>Impuesto sobre Sucesiones y Donaciones</w:t>
      </w:r>
    </w:p>
    <w:p w:rsidR="00971481" w:rsidRDefault="0080123A" w:rsidP="0080123A">
      <w:pPr>
        <w:pStyle w:val="Prrafodelista"/>
        <w:numPr>
          <w:ilvl w:val="0"/>
          <w:numId w:val="40"/>
        </w:numPr>
        <w:jc w:val="both"/>
      </w:pPr>
      <w:r>
        <w:t xml:space="preserve">IVA, </w:t>
      </w:r>
      <w:r w:rsidR="00001D3D">
        <w:t xml:space="preserve">con carácter parcial </w:t>
      </w:r>
      <w:r w:rsidR="00971481">
        <w:t>con el límite máximo del 50%</w:t>
      </w:r>
    </w:p>
    <w:p w:rsidR="00971481" w:rsidRDefault="00971481" w:rsidP="0080123A">
      <w:pPr>
        <w:pStyle w:val="Prrafodelista"/>
        <w:numPr>
          <w:ilvl w:val="0"/>
          <w:numId w:val="40"/>
        </w:numPr>
        <w:jc w:val="both"/>
      </w:pPr>
      <w:r>
        <w:t>IIEE de fabricación, con carácter parcial con el límite máximo del 58%, excepto el impuesto sobre la electricidad y el impuesto sobre hidrocarburos</w:t>
      </w:r>
    </w:p>
    <w:p w:rsidR="00971481" w:rsidRDefault="00971481" w:rsidP="0080123A">
      <w:pPr>
        <w:pStyle w:val="Prrafodelista"/>
        <w:numPr>
          <w:ilvl w:val="0"/>
          <w:numId w:val="40"/>
        </w:numPr>
        <w:jc w:val="both"/>
      </w:pPr>
      <w:r>
        <w:t>Impuesto sobre la electricidad (cesión total)</w:t>
      </w:r>
    </w:p>
    <w:p w:rsidR="00971481" w:rsidRDefault="00971481" w:rsidP="0080123A">
      <w:pPr>
        <w:pStyle w:val="Prrafodelista"/>
        <w:numPr>
          <w:ilvl w:val="0"/>
          <w:numId w:val="40"/>
        </w:numPr>
        <w:jc w:val="both"/>
      </w:pPr>
      <w:r>
        <w:t>Impuesto sobre hidrocarburos con el límite del 58% para el tipo general estatal y en su totalidad para el tipo especial estatal y para el tipo autonómico.</w:t>
      </w:r>
    </w:p>
    <w:p w:rsidR="00971481" w:rsidRDefault="00971481" w:rsidP="0080123A">
      <w:pPr>
        <w:pStyle w:val="Prrafodelista"/>
        <w:numPr>
          <w:ilvl w:val="0"/>
          <w:numId w:val="40"/>
        </w:numPr>
        <w:jc w:val="both"/>
      </w:pPr>
      <w:r>
        <w:t>Impuesto especial sobre determinados medios de transporte</w:t>
      </w:r>
    </w:p>
    <w:p w:rsidR="0080123A" w:rsidRDefault="00971481" w:rsidP="0080123A">
      <w:pPr>
        <w:pStyle w:val="Prrafodelista"/>
        <w:numPr>
          <w:ilvl w:val="0"/>
          <w:numId w:val="40"/>
        </w:numPr>
        <w:jc w:val="both"/>
      </w:pPr>
      <w:r>
        <w:t>Tributos sobre el juego</w:t>
      </w:r>
      <w:r w:rsidR="0080123A">
        <w:t xml:space="preserve"> </w:t>
      </w:r>
    </w:p>
    <w:p w:rsidR="00971481" w:rsidRDefault="0085767A" w:rsidP="00971481">
      <w:pPr>
        <w:ind w:left="644"/>
        <w:jc w:val="both"/>
      </w:pPr>
      <w:r>
        <w:t>El art. 19.2 de la LOFCA establece que las CCAA podrán asumir las siguientes competencias normativas sobre los tributos cedidos:</w:t>
      </w:r>
    </w:p>
    <w:p w:rsidR="0085767A" w:rsidRDefault="0085767A" w:rsidP="0085767A">
      <w:pPr>
        <w:pStyle w:val="Prrafodelista"/>
        <w:numPr>
          <w:ilvl w:val="0"/>
          <w:numId w:val="38"/>
        </w:numPr>
        <w:jc w:val="both"/>
      </w:pPr>
      <w:r>
        <w:t>En el IRPF, la cuantía del mínimo personal y familiar, la tarifa y deducciones de la cuota.</w:t>
      </w:r>
    </w:p>
    <w:p w:rsidR="0085767A" w:rsidRDefault="0085767A" w:rsidP="0085767A">
      <w:pPr>
        <w:pStyle w:val="Prrafodelista"/>
        <w:numPr>
          <w:ilvl w:val="0"/>
          <w:numId w:val="38"/>
        </w:numPr>
        <w:jc w:val="both"/>
      </w:pPr>
      <w:r>
        <w:t>En el IP, la determinación del mínimo exento, la tarifa, deducciones y bonificaciones.</w:t>
      </w:r>
    </w:p>
    <w:p w:rsidR="0085767A" w:rsidRDefault="0085767A" w:rsidP="0085767A">
      <w:pPr>
        <w:pStyle w:val="Prrafodelista"/>
        <w:numPr>
          <w:ilvl w:val="0"/>
          <w:numId w:val="38"/>
        </w:numPr>
        <w:jc w:val="both"/>
      </w:pPr>
      <w:r>
        <w:t>En el ISD, las reducciones de la base imponible, la tarifa, la cuantía y coeficientes del patrimonio preexistente, deducciones, bonificaciones y la gestión del impuesto.</w:t>
      </w:r>
    </w:p>
    <w:p w:rsidR="0085767A" w:rsidRDefault="0085767A" w:rsidP="0085767A">
      <w:pPr>
        <w:pStyle w:val="Prrafodelista"/>
        <w:numPr>
          <w:ilvl w:val="0"/>
          <w:numId w:val="38"/>
        </w:numPr>
        <w:jc w:val="both"/>
      </w:pPr>
      <w:r>
        <w:t>En el ITP y AJD, tipos de gravamen, deducciones, bonificaciones y gestión del tributo.</w:t>
      </w:r>
    </w:p>
    <w:p w:rsidR="0085767A" w:rsidRDefault="0085767A" w:rsidP="0085767A">
      <w:pPr>
        <w:pStyle w:val="Prrafodelista"/>
        <w:numPr>
          <w:ilvl w:val="0"/>
          <w:numId w:val="38"/>
        </w:numPr>
        <w:jc w:val="both"/>
      </w:pPr>
      <w:r>
        <w:t>En los tributos sobre el juego, exenciones, base imponible, tipos, cuotas fijas, bonificaciones y devengo.</w:t>
      </w:r>
    </w:p>
    <w:p w:rsidR="0085767A" w:rsidRDefault="0085767A" w:rsidP="0085767A">
      <w:pPr>
        <w:pStyle w:val="Prrafodelista"/>
        <w:numPr>
          <w:ilvl w:val="0"/>
          <w:numId w:val="38"/>
        </w:numPr>
        <w:jc w:val="both"/>
      </w:pPr>
      <w:r>
        <w:t>En el Impuesto Especial sobre determinados medios de transporte, los tipos.</w:t>
      </w:r>
    </w:p>
    <w:p w:rsidR="007E4A1D" w:rsidRDefault="00BE5257" w:rsidP="00BE5257">
      <w:pPr>
        <w:ind w:left="644"/>
        <w:jc w:val="both"/>
      </w:pPr>
      <w:r>
        <w:t>La titularidad de las competencias normativas y de aplicación de los tributos, la potestad sancionadora y la rev</w:t>
      </w:r>
      <w:r w:rsidR="007E4A1D">
        <w:t>isión de actos de</w:t>
      </w:r>
      <w:r>
        <w:t xml:space="preserve"> los tributos cedidos corresponde al Estado</w:t>
      </w:r>
      <w:r w:rsidR="007E4A1D">
        <w:t>.</w:t>
      </w:r>
    </w:p>
    <w:p w:rsidR="00BE5257" w:rsidRDefault="007E4A1D" w:rsidP="00BE5257">
      <w:pPr>
        <w:ind w:left="644"/>
        <w:jc w:val="both"/>
      </w:pPr>
      <w:r>
        <w:t>No obstante, por delegación de competencias, las CCAA se harán cargo de la aplicación de los tributaos y de la revisión de actos en el IP, ISD, ITP y AJD, Tributos sobre el juego e Impuesto especial sobre determinados medios de transporte.</w:t>
      </w:r>
      <w:r w:rsidR="00BE5257">
        <w:t xml:space="preserve"> </w:t>
      </w:r>
    </w:p>
    <w:p w:rsidR="007E4A1D" w:rsidRPr="007E4A1D" w:rsidRDefault="007E4A1D" w:rsidP="007E4A1D">
      <w:pPr>
        <w:pStyle w:val="Prrafodelista"/>
        <w:numPr>
          <w:ilvl w:val="0"/>
          <w:numId w:val="27"/>
        </w:numPr>
        <w:jc w:val="both"/>
        <w:rPr>
          <w:b/>
        </w:rPr>
      </w:pPr>
      <w:r w:rsidRPr="007E4A1D">
        <w:rPr>
          <w:b/>
        </w:rPr>
        <w:t>LA LEY REGULADORA DE LAS HACIENDAS LOCALES</w:t>
      </w:r>
    </w:p>
    <w:p w:rsidR="00DC682F" w:rsidRDefault="00DC682F" w:rsidP="00DC682F">
      <w:pPr>
        <w:pStyle w:val="Prrafodelista"/>
        <w:ind w:left="644"/>
        <w:jc w:val="both"/>
      </w:pPr>
    </w:p>
    <w:p w:rsidR="00580BFB" w:rsidRDefault="0059145A" w:rsidP="00580BFB">
      <w:pPr>
        <w:pStyle w:val="Prrafodelista"/>
        <w:ind w:left="644"/>
        <w:jc w:val="both"/>
      </w:pPr>
      <w:r>
        <w:t>Ac</w:t>
      </w:r>
      <w:r w:rsidR="00580BFB">
        <w:t>tualmente las norma básica de las Haciendas Locales es</w:t>
      </w:r>
      <w:r>
        <w:t xml:space="preserve"> el R.D. Legislativo 2/2004, de cinco de marzo, por el que se prueba el Texto Refundido de la Ley Reguladora de las Haciendas Locales (TRLRHL)</w:t>
      </w:r>
      <w:r w:rsidR="00580BFB">
        <w:t>.</w:t>
      </w:r>
    </w:p>
    <w:p w:rsidR="00580BFB" w:rsidRDefault="00580BFB" w:rsidP="00580BFB">
      <w:pPr>
        <w:pStyle w:val="Prrafodelista"/>
        <w:ind w:left="644"/>
        <w:jc w:val="both"/>
      </w:pPr>
      <w:r>
        <w:t>El TRLRHL regula el sistema financiero y el régimen presupuestario y contable de las entidades locales.</w:t>
      </w:r>
    </w:p>
    <w:p w:rsidR="00580BFB" w:rsidRDefault="00580BFB" w:rsidP="00A718DA">
      <w:pPr>
        <w:pStyle w:val="Prrafodelista"/>
        <w:ind w:left="644"/>
        <w:jc w:val="both"/>
      </w:pPr>
      <w:r>
        <w:t>El artículo 2 del TRLRHL establece que la hacienda de las entidades locales estará constituida por los siguientes recursos:</w:t>
      </w:r>
    </w:p>
    <w:p w:rsidR="00580BFB" w:rsidRDefault="00580BFB" w:rsidP="00580BFB">
      <w:pPr>
        <w:pStyle w:val="Prrafodelista"/>
        <w:numPr>
          <w:ilvl w:val="0"/>
          <w:numId w:val="41"/>
        </w:numPr>
        <w:jc w:val="both"/>
      </w:pPr>
      <w:r>
        <w:t>Los ingresos procedentes de su patrimonio y demás de derecho privado.</w:t>
      </w:r>
    </w:p>
    <w:p w:rsidR="00580BFB" w:rsidRDefault="00580BFB" w:rsidP="00580BFB">
      <w:pPr>
        <w:pStyle w:val="Prrafodelista"/>
        <w:numPr>
          <w:ilvl w:val="0"/>
          <w:numId w:val="41"/>
        </w:numPr>
        <w:jc w:val="both"/>
      </w:pPr>
      <w:r>
        <w:t>Los tributos propios (Tasas, Contribuciones Especiales e Impuestos) y recargos sobre los impuestos de las CCAA o de otras entidades locales</w:t>
      </w:r>
    </w:p>
    <w:p w:rsidR="00580BFB" w:rsidRDefault="00580BFB" w:rsidP="00580BFB">
      <w:pPr>
        <w:pStyle w:val="Prrafodelista"/>
        <w:numPr>
          <w:ilvl w:val="0"/>
          <w:numId w:val="41"/>
        </w:numPr>
        <w:jc w:val="both"/>
      </w:pPr>
      <w:r>
        <w:t>Las participaciones en los tributos del Estado y de las CCAA</w:t>
      </w:r>
    </w:p>
    <w:p w:rsidR="00580BFB" w:rsidRDefault="00580BFB" w:rsidP="00580BFB">
      <w:pPr>
        <w:pStyle w:val="Prrafodelista"/>
        <w:numPr>
          <w:ilvl w:val="0"/>
          <w:numId w:val="41"/>
        </w:numPr>
        <w:jc w:val="both"/>
      </w:pPr>
      <w:r>
        <w:t>Las subvenciones</w:t>
      </w:r>
    </w:p>
    <w:p w:rsidR="00580BFB" w:rsidRDefault="00580BFB" w:rsidP="00580BFB">
      <w:pPr>
        <w:pStyle w:val="Prrafodelista"/>
        <w:numPr>
          <w:ilvl w:val="0"/>
          <w:numId w:val="41"/>
        </w:numPr>
        <w:jc w:val="both"/>
      </w:pPr>
      <w:r>
        <w:lastRenderedPageBreak/>
        <w:t>Los precios públicos</w:t>
      </w:r>
    </w:p>
    <w:p w:rsidR="00580BFB" w:rsidRDefault="00580BFB" w:rsidP="00580BFB">
      <w:pPr>
        <w:pStyle w:val="Prrafodelista"/>
        <w:numPr>
          <w:ilvl w:val="0"/>
          <w:numId w:val="41"/>
        </w:numPr>
        <w:jc w:val="both"/>
      </w:pPr>
      <w:r>
        <w:t>El producto de las operaciones de crédito</w:t>
      </w:r>
    </w:p>
    <w:p w:rsidR="00580BFB" w:rsidRDefault="00580BFB" w:rsidP="00580BFB">
      <w:pPr>
        <w:pStyle w:val="Prrafodelista"/>
        <w:numPr>
          <w:ilvl w:val="0"/>
          <w:numId w:val="41"/>
        </w:numPr>
        <w:jc w:val="both"/>
      </w:pPr>
      <w:r>
        <w:t>Multas y sanciones en el ámbito de sus competencias</w:t>
      </w:r>
    </w:p>
    <w:p w:rsidR="00580BFB" w:rsidRDefault="00580BFB" w:rsidP="00580BFB">
      <w:pPr>
        <w:pStyle w:val="Prrafodelista"/>
        <w:numPr>
          <w:ilvl w:val="0"/>
          <w:numId w:val="41"/>
        </w:numPr>
        <w:jc w:val="both"/>
      </w:pPr>
      <w:r>
        <w:t>Las demás prestaciones de derecho público.</w:t>
      </w:r>
    </w:p>
    <w:p w:rsidR="00580BFB" w:rsidRDefault="00580BFB" w:rsidP="00580BFB">
      <w:pPr>
        <w:pStyle w:val="Prrafodelista"/>
        <w:ind w:left="644"/>
        <w:jc w:val="both"/>
      </w:pPr>
    </w:p>
    <w:p w:rsidR="00580BFB" w:rsidRPr="00580BFB" w:rsidRDefault="00580BFB" w:rsidP="00580BFB">
      <w:pPr>
        <w:pStyle w:val="Prrafodelista"/>
        <w:numPr>
          <w:ilvl w:val="0"/>
          <w:numId w:val="27"/>
        </w:numPr>
        <w:jc w:val="both"/>
        <w:rPr>
          <w:b/>
        </w:rPr>
      </w:pPr>
      <w:r w:rsidRPr="00580BFB">
        <w:rPr>
          <w:b/>
        </w:rPr>
        <w:t>EL SISTEMA TRIBUTARIO LOCAL</w:t>
      </w:r>
    </w:p>
    <w:p w:rsidR="006161AE" w:rsidRDefault="006161AE" w:rsidP="005341E3">
      <w:pPr>
        <w:pStyle w:val="Prrafodelista"/>
        <w:ind w:left="644"/>
        <w:jc w:val="both"/>
      </w:pPr>
    </w:p>
    <w:p w:rsidR="005341E3" w:rsidRDefault="005341E3" w:rsidP="005341E3">
      <w:pPr>
        <w:pStyle w:val="Prrafodelista"/>
        <w:ind w:left="644"/>
        <w:jc w:val="both"/>
      </w:pPr>
      <w:r>
        <w:t>Según el artículo 133 de la Constitución Española, la potestad originaria para establecer tributos corresponde exclusivamente al Estado, mediante ley. Las CCAA y las corporaciones locales sólo podrán establecer y exigir tributos de acuerdo con la Constitución y las Leyes. Por lo tanto, las EELL al igual que las CCAA sólo tienen un poder tributario derivado  los tributos locales solo pueden ser creados y sus elementos esenciales configurados por la Ley del Estado (TRLRHL). Sin perjuicio de lo anterior, las entidades locales ejercerán su potestad reglamentaria dentro de los límites de la Ley mediante la aprobación de las llamadas Ordenanzas Fiscales.</w:t>
      </w:r>
    </w:p>
    <w:p w:rsidR="005341E3" w:rsidRDefault="005341E3" w:rsidP="005341E3">
      <w:pPr>
        <w:pStyle w:val="Prrafodelista"/>
        <w:ind w:left="644"/>
        <w:jc w:val="both"/>
      </w:pPr>
      <w:r>
        <w:t>Los recursos tributarios de las EELL estarán constituidos por los tributos propios clasificados en Tasas, Contribuciones especiales e Impuestos</w:t>
      </w:r>
      <w:r w:rsidR="006161AE">
        <w:t xml:space="preserve"> y por los recargos exigibles sobre los impuestos de las CCAA o de otras entidades locales.</w:t>
      </w:r>
    </w:p>
    <w:p w:rsidR="006161AE" w:rsidRDefault="006161AE" w:rsidP="005341E3">
      <w:pPr>
        <w:pStyle w:val="Prrafodelista"/>
        <w:ind w:left="644"/>
        <w:jc w:val="both"/>
      </w:pPr>
    </w:p>
    <w:p w:rsidR="005341E3" w:rsidRDefault="006161AE" w:rsidP="006161AE">
      <w:pPr>
        <w:pStyle w:val="Prrafodelista"/>
        <w:ind w:left="644"/>
        <w:jc w:val="both"/>
      </w:pPr>
      <w:r>
        <w:t>TASAS (ARTS. 20 A 27 TRLRHL)</w:t>
      </w:r>
    </w:p>
    <w:p w:rsidR="006161AE" w:rsidRDefault="006161AE" w:rsidP="006161AE">
      <w:pPr>
        <w:pStyle w:val="Prrafodelista"/>
        <w:ind w:left="644"/>
        <w:jc w:val="both"/>
      </w:pPr>
      <w:r>
        <w:t>Son tributos que se exigen por la utilización privativa o el aprovechamiento especial del dominio público local o por la prestación de servicios públicos o la realización de actividades administrativas que se refieran, afecten o beneficien a los sujetos pasivos siempre que sea de solicitud o recepción voluntaria por los administrados o que no se presten alternativamente por el sector privado.</w:t>
      </w:r>
    </w:p>
    <w:p w:rsidR="006161AE" w:rsidRDefault="006161AE" w:rsidP="006161AE">
      <w:pPr>
        <w:pStyle w:val="Prrafodelista"/>
        <w:ind w:left="644"/>
        <w:jc w:val="both"/>
      </w:pPr>
    </w:p>
    <w:p w:rsidR="006161AE" w:rsidRDefault="006161AE" w:rsidP="006161AE">
      <w:pPr>
        <w:pStyle w:val="Prrafodelista"/>
        <w:ind w:left="644"/>
        <w:jc w:val="both"/>
      </w:pPr>
      <w:r>
        <w:t>CONTRIBUCIONES ESPECIALES (ARTS. 28 A 37 TRLRHL)</w:t>
      </w:r>
    </w:p>
    <w:p w:rsidR="006161AE" w:rsidRDefault="006161AE" w:rsidP="006161AE">
      <w:pPr>
        <w:pStyle w:val="Prrafodelista"/>
        <w:ind w:left="644"/>
        <w:jc w:val="both"/>
      </w:pPr>
      <w:r>
        <w:t>Su hecho imponible consiste en la obtención por el sujeto pasivo de un beneficio o de un aumento de valor de sus bienes como consecuencia de la realización de obras públicas o del establecimiento o ampliación de los servicios públicos de carácter local. Las cantidades recaudadas solo podrán destinarse a sufragar los gastos de las obra o del servicio en cuestión.</w:t>
      </w:r>
    </w:p>
    <w:p w:rsidR="006161AE" w:rsidRDefault="006161AE" w:rsidP="006161AE">
      <w:pPr>
        <w:pStyle w:val="Prrafodelista"/>
        <w:ind w:left="644"/>
        <w:jc w:val="both"/>
      </w:pPr>
    </w:p>
    <w:p w:rsidR="006161AE" w:rsidRDefault="0058300C" w:rsidP="006161AE">
      <w:pPr>
        <w:pStyle w:val="Prrafodelista"/>
        <w:ind w:left="644"/>
        <w:jc w:val="both"/>
      </w:pPr>
      <w:r>
        <w:t>IMPUESTOS (ARTS. 59</w:t>
      </w:r>
      <w:r w:rsidR="006161AE">
        <w:t xml:space="preserve"> A 110 TRLRHL)</w:t>
      </w:r>
    </w:p>
    <w:p w:rsidR="006161AE" w:rsidRDefault="006161AE" w:rsidP="006161AE">
      <w:pPr>
        <w:pStyle w:val="Prrafodelista"/>
        <w:ind w:left="644"/>
        <w:jc w:val="both"/>
      </w:pPr>
      <w:r>
        <w:t xml:space="preserve">Se establecen cinco impuestos locales, tres de exacción obligatoria para los Ayuntamientos: </w:t>
      </w:r>
      <w:r w:rsidR="0058300C">
        <w:t>Impuesto sobre Bienes Inmuebles (</w:t>
      </w:r>
      <w:r>
        <w:t>IBI</w:t>
      </w:r>
      <w:r w:rsidR="0058300C">
        <w:t>)</w:t>
      </w:r>
      <w:r>
        <w:t xml:space="preserve">, </w:t>
      </w:r>
      <w:r w:rsidR="0058300C">
        <w:t>Impuestos sobre Actividades Económicas (</w:t>
      </w:r>
      <w:r>
        <w:t>IAE</w:t>
      </w:r>
      <w:r w:rsidR="0058300C">
        <w:t>)</w:t>
      </w:r>
      <w:r>
        <w:t xml:space="preserve"> e Impuesto sobre vehículos de </w:t>
      </w:r>
      <w:r w:rsidR="0058300C">
        <w:t>tracción mecánica (IVTM); y dos de exacción potestativa o voluntaria para los Ayuntamientos: Impuesto sobre Construcciones, Instalaciones  y Obras (ICIO) e Impuesto sobre el Incremento de Valor de los Terrenos de Naturaleza Urbana (IIVTNU).</w:t>
      </w:r>
    </w:p>
    <w:p w:rsidR="005341E3" w:rsidRDefault="005341E3" w:rsidP="00A718DA">
      <w:pPr>
        <w:pStyle w:val="Prrafodelista"/>
        <w:ind w:left="644"/>
        <w:jc w:val="both"/>
      </w:pPr>
    </w:p>
    <w:p w:rsidR="0058300C" w:rsidRDefault="0058300C" w:rsidP="00A718DA">
      <w:pPr>
        <w:pStyle w:val="Prrafodelista"/>
        <w:ind w:left="644"/>
        <w:jc w:val="both"/>
      </w:pPr>
      <w:r>
        <w:t>IBI (ARTS 60 AL 67 TRLRHL)</w:t>
      </w:r>
    </w:p>
    <w:p w:rsidR="0058300C" w:rsidRDefault="0058300C" w:rsidP="00A718DA">
      <w:pPr>
        <w:pStyle w:val="Prrafodelista"/>
        <w:ind w:left="644"/>
        <w:jc w:val="both"/>
      </w:pPr>
      <w:r>
        <w:t xml:space="preserve">Es un tributo directo y de carácter real que grava el valor de los bienes inmuebles, cuyo hecho imponible es la titularidad de los siguientes derechos sobre los bienes inmuebles </w:t>
      </w:r>
      <w:r>
        <w:lastRenderedPageBreak/>
        <w:t>rústicos, urbanos y de características especiales: Concesión administrativa, derecho real de superficie, usufructo y derecho de propiedad.</w:t>
      </w:r>
    </w:p>
    <w:p w:rsidR="0058300C" w:rsidRDefault="0058300C" w:rsidP="00A718DA">
      <w:pPr>
        <w:pStyle w:val="Prrafodelista"/>
        <w:ind w:left="644"/>
        <w:jc w:val="both"/>
      </w:pPr>
    </w:p>
    <w:p w:rsidR="0058300C" w:rsidRDefault="0058300C" w:rsidP="00A718DA">
      <w:pPr>
        <w:pStyle w:val="Prrafodelista"/>
        <w:ind w:left="644"/>
        <w:jc w:val="both"/>
      </w:pPr>
      <w:r>
        <w:t>IVTM (ARTS. 92 A 99 TRLRHL)</w:t>
      </w:r>
    </w:p>
    <w:p w:rsidR="0058300C" w:rsidRDefault="0058300C" w:rsidP="00A718DA">
      <w:pPr>
        <w:pStyle w:val="Prrafodelista"/>
        <w:ind w:left="644"/>
        <w:jc w:val="both"/>
      </w:pPr>
      <w:r>
        <w:t>Es un impuesto directo y real que grava la titularidad de los vehículos de tracción mecánica aptos para circular por las vías públicas</w:t>
      </w:r>
      <w:r w:rsidR="008C4625">
        <w:t>, cualquiera que sean su clase y su categoría.</w:t>
      </w:r>
    </w:p>
    <w:p w:rsidR="008C4625" w:rsidRDefault="008C4625" w:rsidP="00A718DA">
      <w:pPr>
        <w:pStyle w:val="Prrafodelista"/>
        <w:ind w:left="644"/>
        <w:jc w:val="both"/>
      </w:pPr>
    </w:p>
    <w:p w:rsidR="008C4625" w:rsidRDefault="008C4625" w:rsidP="00A718DA">
      <w:pPr>
        <w:pStyle w:val="Prrafodelista"/>
        <w:ind w:left="644"/>
        <w:jc w:val="both"/>
      </w:pPr>
      <w:r>
        <w:t>ICIO (ARTS 100 A 103 TRLRHL)</w:t>
      </w:r>
    </w:p>
    <w:p w:rsidR="008C4625" w:rsidRDefault="008C4625" w:rsidP="00A718DA">
      <w:pPr>
        <w:pStyle w:val="Prrafodelista"/>
        <w:ind w:left="644"/>
        <w:jc w:val="both"/>
      </w:pPr>
      <w:r>
        <w:t>Es un impuesto indirecto y real cuyo hecho imponible está constituido por la realización de cualquier construcción, instalación u obra para la que se exija la obtención de la correspondiente licencia de obras o urbanística (o en su sustitución declaración responsable o comunicación previa), se haya obtenido o no dicha licencia.</w:t>
      </w:r>
    </w:p>
    <w:p w:rsidR="008C4625" w:rsidRDefault="008C4625" w:rsidP="00A718DA">
      <w:pPr>
        <w:pStyle w:val="Prrafodelista"/>
        <w:ind w:left="644"/>
        <w:jc w:val="both"/>
      </w:pPr>
    </w:p>
    <w:p w:rsidR="008C4625" w:rsidRDefault="008C4625" w:rsidP="00A718DA">
      <w:pPr>
        <w:pStyle w:val="Prrafodelista"/>
        <w:ind w:left="644"/>
        <w:jc w:val="both"/>
      </w:pPr>
      <w:r>
        <w:t>IIVTNU (ARTS. 104 A 110 TRLRHL)</w:t>
      </w:r>
    </w:p>
    <w:p w:rsidR="008C4625" w:rsidRDefault="008C4625" w:rsidP="00A718DA">
      <w:pPr>
        <w:pStyle w:val="Prrafodelista"/>
        <w:ind w:left="644"/>
        <w:jc w:val="both"/>
      </w:pPr>
      <w:r>
        <w:t>Es</w:t>
      </w:r>
      <w:r w:rsidR="001F4CB4">
        <w:t xml:space="preserve"> un impuesto directo y real cuyo hecho imponible es el incremento de valor que experimenten los terrenos de naturaleza urbana puestos de manifiesto como consecuencia de la transmisión de la propiedad de los mismos, por cualquier título, o de la constitución o transmisión de cualquier derecho real de goce, limitativo del dominio, sobre los referidos terrenos.</w:t>
      </w:r>
    </w:p>
    <w:p w:rsidR="001F4CB4" w:rsidRDefault="001F4CB4" w:rsidP="00A718DA">
      <w:pPr>
        <w:pStyle w:val="Prrafodelista"/>
        <w:ind w:left="644"/>
        <w:jc w:val="both"/>
      </w:pPr>
    </w:p>
    <w:p w:rsidR="001F4CB4" w:rsidRPr="001F4CB4" w:rsidRDefault="001F4CB4" w:rsidP="001F4CB4">
      <w:pPr>
        <w:pStyle w:val="Prrafodelista"/>
        <w:numPr>
          <w:ilvl w:val="0"/>
          <w:numId w:val="27"/>
        </w:numPr>
        <w:jc w:val="both"/>
        <w:rPr>
          <w:b/>
        </w:rPr>
      </w:pPr>
      <w:r w:rsidRPr="001F4CB4">
        <w:rPr>
          <w:b/>
        </w:rPr>
        <w:t>EL IMPUESTO SOBRE ACTIVIDADES ECONÓMICAS</w:t>
      </w:r>
    </w:p>
    <w:p w:rsidR="008C4625" w:rsidRDefault="008C4625" w:rsidP="00A718DA">
      <w:pPr>
        <w:pStyle w:val="Prrafodelista"/>
        <w:ind w:left="644"/>
        <w:jc w:val="both"/>
      </w:pPr>
    </w:p>
    <w:p w:rsidR="00710327" w:rsidRDefault="00710327" w:rsidP="00710327">
      <w:pPr>
        <w:pStyle w:val="Prrafodelista"/>
        <w:ind w:left="644"/>
        <w:jc w:val="both"/>
      </w:pPr>
      <w:r>
        <w:t>NATURALEZA Y HECHO IMPONIBLE</w:t>
      </w:r>
    </w:p>
    <w:p w:rsidR="00710327" w:rsidRDefault="00710327" w:rsidP="00710327">
      <w:pPr>
        <w:pStyle w:val="Prrafodelista"/>
        <w:ind w:left="644"/>
        <w:jc w:val="both"/>
        <w:rPr>
          <w:rFonts w:ascii="Calibri" w:hAnsi="Calibri"/>
        </w:rPr>
      </w:pPr>
      <w:r w:rsidRPr="00710327">
        <w:rPr>
          <w:rFonts w:ascii="Calibri" w:hAnsi="Calibri"/>
        </w:rPr>
        <w:t xml:space="preserve">El IAE se encuentra regulado fundamentalmente en los artículos </w:t>
      </w:r>
      <w:smartTag w:uri="urn:schemas-microsoft-com:office:smarttags" w:element="metricconverter">
        <w:smartTagPr>
          <w:attr w:name="ProductID" w:val="78 a"/>
        </w:smartTagPr>
        <w:r w:rsidRPr="00710327">
          <w:rPr>
            <w:rFonts w:ascii="Calibri" w:hAnsi="Calibri"/>
          </w:rPr>
          <w:t>78 a</w:t>
        </w:r>
      </w:smartTag>
      <w:r w:rsidRPr="00710327">
        <w:rPr>
          <w:rFonts w:ascii="Calibri" w:hAnsi="Calibri"/>
        </w:rPr>
        <w:t xml:space="preserve"> 91, ambos inclusive, y 134, del R.D. Legislativo 2/2004, de cinco de marzo, por el que se aprueba el Texto Refundido de la Ley Regu</w:t>
      </w:r>
      <w:r>
        <w:rPr>
          <w:rFonts w:ascii="Calibri" w:hAnsi="Calibri"/>
        </w:rPr>
        <w:t>ladora de las Haciendas Locales</w:t>
      </w:r>
      <w:r w:rsidRPr="00710327">
        <w:rPr>
          <w:rFonts w:ascii="Calibri" w:hAnsi="Calibri"/>
        </w:rPr>
        <w:t xml:space="preserve"> </w:t>
      </w:r>
    </w:p>
    <w:p w:rsidR="00710327" w:rsidRDefault="00710327" w:rsidP="00710327">
      <w:pPr>
        <w:pStyle w:val="Prrafodelista"/>
        <w:ind w:left="644"/>
        <w:jc w:val="both"/>
        <w:rPr>
          <w:rFonts w:ascii="Calibri" w:hAnsi="Calibri"/>
        </w:rPr>
      </w:pPr>
      <w:r w:rsidRPr="00710327">
        <w:rPr>
          <w:rFonts w:ascii="Calibri" w:hAnsi="Calibri"/>
        </w:rPr>
        <w:t>En cuanto a su naturaleza, el impuesto t</w:t>
      </w:r>
      <w:r>
        <w:rPr>
          <w:rFonts w:ascii="Calibri" w:hAnsi="Calibri"/>
        </w:rPr>
        <w:t xml:space="preserve">iene carácter directo, es real cuyo hecho imponible </w:t>
      </w:r>
      <w:r w:rsidRPr="00710327">
        <w:rPr>
          <w:rFonts w:ascii="Calibri" w:hAnsi="Calibri"/>
        </w:rPr>
        <w:t>está constituido por el mero ejercicio en territorio nacional de actividades ganaderas independientes, industriales, comerciales, de servicios, mineras, profesionales y artísticas, ordenadas por cuenta propia, se ejerzan o no en local determinado y se hallen o no especificadas en las Tarifas del Impuesto.</w:t>
      </w:r>
    </w:p>
    <w:p w:rsidR="00710327" w:rsidRPr="00710327" w:rsidRDefault="00710327" w:rsidP="00710327">
      <w:pPr>
        <w:pStyle w:val="Prrafodelista"/>
        <w:ind w:left="644"/>
        <w:jc w:val="both"/>
      </w:pPr>
      <w:r w:rsidRPr="00710327">
        <w:rPr>
          <w:rFonts w:ascii="Calibri" w:hAnsi="Calibri"/>
        </w:rPr>
        <w:t>No constituyen el hecho imponible del impuesto las actividades agrícolas, ganaderas dependientes, forestales y pesqueras.</w:t>
      </w:r>
    </w:p>
    <w:p w:rsidR="00AF7FB6" w:rsidRDefault="00710327" w:rsidP="000E7718">
      <w:pPr>
        <w:pStyle w:val="NormalWeb"/>
        <w:spacing w:line="300" w:lineRule="auto"/>
        <w:ind w:left="644"/>
        <w:contextualSpacing/>
        <w:jc w:val="both"/>
        <w:rPr>
          <w:rFonts w:ascii="Calibri" w:hAnsi="Calibri"/>
          <w:sz w:val="22"/>
          <w:szCs w:val="22"/>
        </w:rPr>
      </w:pPr>
      <w:r>
        <w:rPr>
          <w:rFonts w:ascii="Calibri" w:hAnsi="Calibri"/>
          <w:sz w:val="22"/>
          <w:szCs w:val="22"/>
        </w:rPr>
        <w:t>SUJETOS PASIVOS</w:t>
      </w:r>
    </w:p>
    <w:p w:rsidR="00710327" w:rsidRDefault="00710327" w:rsidP="000E7718">
      <w:pPr>
        <w:pStyle w:val="NormalWeb"/>
        <w:spacing w:line="300" w:lineRule="auto"/>
        <w:ind w:left="644"/>
        <w:contextualSpacing/>
        <w:jc w:val="both"/>
        <w:rPr>
          <w:rFonts w:ascii="Calibri" w:hAnsi="Calibri"/>
          <w:sz w:val="22"/>
          <w:szCs w:val="22"/>
        </w:rPr>
      </w:pPr>
      <w:r>
        <w:rPr>
          <w:rFonts w:ascii="Calibri" w:hAnsi="Calibri"/>
          <w:sz w:val="22"/>
          <w:szCs w:val="22"/>
        </w:rPr>
        <w:t>Son sujetos pasivos del impuesto las personas físicas, jurídicas y las entidades del artículo 35.4 de la LGT que realicen en territorio nacional cualquiera de las actividades que originan el hecho imponible.</w:t>
      </w:r>
    </w:p>
    <w:p w:rsidR="000E7718" w:rsidRDefault="000E7718" w:rsidP="000E7718">
      <w:pPr>
        <w:pStyle w:val="NormalWeb"/>
        <w:spacing w:line="300" w:lineRule="auto"/>
        <w:ind w:left="644"/>
        <w:contextualSpacing/>
        <w:jc w:val="both"/>
        <w:rPr>
          <w:rFonts w:ascii="Calibri" w:hAnsi="Calibri"/>
          <w:sz w:val="22"/>
          <w:szCs w:val="22"/>
        </w:rPr>
      </w:pPr>
    </w:p>
    <w:p w:rsidR="00710327" w:rsidRDefault="00710327" w:rsidP="000E7718">
      <w:pPr>
        <w:pStyle w:val="NormalWeb"/>
        <w:spacing w:line="300" w:lineRule="auto"/>
        <w:ind w:left="644"/>
        <w:contextualSpacing/>
        <w:jc w:val="both"/>
        <w:rPr>
          <w:rFonts w:ascii="Calibri" w:hAnsi="Calibri"/>
          <w:sz w:val="22"/>
          <w:szCs w:val="22"/>
        </w:rPr>
      </w:pPr>
      <w:r>
        <w:rPr>
          <w:rFonts w:ascii="Calibri" w:hAnsi="Calibri"/>
          <w:sz w:val="22"/>
          <w:szCs w:val="22"/>
        </w:rPr>
        <w:t>EXENCIONES</w:t>
      </w:r>
    </w:p>
    <w:p w:rsidR="00710327" w:rsidRPr="00710327" w:rsidRDefault="00710327" w:rsidP="000E7718">
      <w:pPr>
        <w:pStyle w:val="NormalWeb"/>
        <w:spacing w:line="300" w:lineRule="auto"/>
        <w:ind w:left="644"/>
        <w:contextualSpacing/>
        <w:jc w:val="both"/>
        <w:rPr>
          <w:rFonts w:ascii="Calibri" w:hAnsi="Calibri"/>
          <w:sz w:val="22"/>
          <w:szCs w:val="22"/>
        </w:rPr>
      </w:pPr>
      <w:r w:rsidRPr="00710327">
        <w:rPr>
          <w:rFonts w:ascii="Calibri" w:hAnsi="Calibri"/>
          <w:sz w:val="22"/>
          <w:szCs w:val="22"/>
        </w:rPr>
        <w:t>Están exentos del Impuesto:</w:t>
      </w:r>
    </w:p>
    <w:p w:rsidR="00710327" w:rsidRPr="00710327" w:rsidRDefault="00710327" w:rsidP="000E7718">
      <w:pPr>
        <w:pStyle w:val="NormalWeb"/>
        <w:numPr>
          <w:ilvl w:val="0"/>
          <w:numId w:val="43"/>
        </w:numPr>
        <w:spacing w:line="300" w:lineRule="auto"/>
        <w:contextualSpacing/>
        <w:jc w:val="both"/>
        <w:rPr>
          <w:rFonts w:ascii="Calibri" w:hAnsi="Calibri"/>
          <w:sz w:val="22"/>
          <w:szCs w:val="22"/>
        </w:rPr>
      </w:pPr>
      <w:r w:rsidRPr="00710327">
        <w:rPr>
          <w:rFonts w:ascii="Calibri" w:hAnsi="Calibri"/>
          <w:sz w:val="22"/>
          <w:szCs w:val="22"/>
        </w:rPr>
        <w:t>Las  Administraciones Públicas y sus respectivos Organismos Autónomos.</w:t>
      </w:r>
    </w:p>
    <w:p w:rsidR="00710327" w:rsidRPr="00710327" w:rsidRDefault="00710327" w:rsidP="000E7718">
      <w:pPr>
        <w:pStyle w:val="NormalWeb"/>
        <w:numPr>
          <w:ilvl w:val="0"/>
          <w:numId w:val="44"/>
        </w:numPr>
        <w:spacing w:line="300" w:lineRule="auto"/>
        <w:contextualSpacing/>
        <w:jc w:val="both"/>
        <w:rPr>
          <w:rFonts w:ascii="Calibri" w:hAnsi="Calibri"/>
          <w:sz w:val="22"/>
          <w:szCs w:val="22"/>
        </w:rPr>
      </w:pPr>
      <w:r w:rsidRPr="00710327">
        <w:rPr>
          <w:rFonts w:ascii="Calibri" w:hAnsi="Calibri"/>
          <w:sz w:val="22"/>
          <w:szCs w:val="22"/>
        </w:rPr>
        <w:lastRenderedPageBreak/>
        <w:t>Los sujetos pasivos que inicien su actividad, durante los dos primeros periodos impositivos.</w:t>
      </w:r>
    </w:p>
    <w:p w:rsidR="00710327" w:rsidRPr="00710327" w:rsidRDefault="00710327" w:rsidP="000E7718">
      <w:pPr>
        <w:pStyle w:val="NormalWeb"/>
        <w:numPr>
          <w:ilvl w:val="0"/>
          <w:numId w:val="45"/>
        </w:numPr>
        <w:spacing w:line="300" w:lineRule="auto"/>
        <w:contextualSpacing/>
        <w:jc w:val="both"/>
        <w:rPr>
          <w:rFonts w:ascii="Calibri" w:hAnsi="Calibri"/>
          <w:sz w:val="22"/>
          <w:szCs w:val="22"/>
        </w:rPr>
      </w:pPr>
      <w:r w:rsidRPr="00710327">
        <w:rPr>
          <w:rFonts w:ascii="Calibri" w:hAnsi="Calibri"/>
          <w:sz w:val="22"/>
          <w:szCs w:val="22"/>
        </w:rPr>
        <w:t xml:space="preserve"> Las personas físicas (residentes) y los sujetos pasivos del Impuesto de Sociedades, las sociedades civiles y entidades del artículo 35.4 de la LGT que tengan un importe neto de la cifra de negocios inferior a 1.000.000 de euros, incluyendo  a los no residentes siempre que operen mediante establecimiento permanente.</w:t>
      </w:r>
    </w:p>
    <w:p w:rsidR="00710327" w:rsidRPr="00710327" w:rsidRDefault="00710327" w:rsidP="000E7718">
      <w:pPr>
        <w:pStyle w:val="NormalWeb"/>
        <w:numPr>
          <w:ilvl w:val="0"/>
          <w:numId w:val="46"/>
        </w:numPr>
        <w:spacing w:line="300" w:lineRule="auto"/>
        <w:contextualSpacing/>
        <w:jc w:val="both"/>
        <w:rPr>
          <w:rFonts w:ascii="Calibri" w:hAnsi="Calibri"/>
          <w:sz w:val="22"/>
          <w:szCs w:val="22"/>
        </w:rPr>
      </w:pPr>
      <w:r w:rsidRPr="00710327">
        <w:rPr>
          <w:rFonts w:ascii="Calibri" w:hAnsi="Calibri"/>
          <w:sz w:val="22"/>
          <w:szCs w:val="22"/>
        </w:rPr>
        <w:t>Las entidades gestoras de la Seguridad Social y Mutualidades de Previsión Social.</w:t>
      </w:r>
    </w:p>
    <w:p w:rsidR="00710327" w:rsidRPr="00710327" w:rsidRDefault="00710327" w:rsidP="000E7718">
      <w:pPr>
        <w:pStyle w:val="NormalWeb"/>
        <w:numPr>
          <w:ilvl w:val="0"/>
          <w:numId w:val="47"/>
        </w:numPr>
        <w:spacing w:line="300" w:lineRule="auto"/>
        <w:contextualSpacing/>
        <w:jc w:val="both"/>
        <w:rPr>
          <w:rFonts w:ascii="Calibri" w:hAnsi="Calibri"/>
          <w:sz w:val="22"/>
          <w:szCs w:val="22"/>
        </w:rPr>
      </w:pPr>
      <w:r w:rsidRPr="00710327">
        <w:rPr>
          <w:rFonts w:ascii="Calibri" w:hAnsi="Calibri"/>
          <w:sz w:val="22"/>
          <w:szCs w:val="22"/>
        </w:rPr>
        <w:t>Las exenciones obligadas en virtud de Tratados o Convenios Internacionales.</w:t>
      </w:r>
    </w:p>
    <w:p w:rsidR="00710327" w:rsidRPr="00710327" w:rsidRDefault="00710327" w:rsidP="000E7718">
      <w:pPr>
        <w:pStyle w:val="NormalWeb"/>
        <w:numPr>
          <w:ilvl w:val="0"/>
          <w:numId w:val="48"/>
        </w:numPr>
        <w:spacing w:line="300" w:lineRule="auto"/>
        <w:contextualSpacing/>
        <w:jc w:val="both"/>
        <w:rPr>
          <w:rFonts w:ascii="Calibri" w:hAnsi="Calibri"/>
          <w:sz w:val="22"/>
          <w:szCs w:val="22"/>
        </w:rPr>
      </w:pPr>
      <w:r w:rsidRPr="00710327">
        <w:rPr>
          <w:rFonts w:ascii="Calibri" w:hAnsi="Calibri"/>
          <w:sz w:val="22"/>
          <w:szCs w:val="22"/>
        </w:rPr>
        <w:t>Los organismos públicos de investigación y los establecimientos de enseñanza costeados íntegramente por fondos públicos o por fundaciones declaradas benéficas o de utilidad pública y los establecimientos de enseñanza en todos sus grados que carentes de ánimo de lucro estuviesen concertados.</w:t>
      </w:r>
    </w:p>
    <w:p w:rsidR="00710327" w:rsidRPr="00710327" w:rsidRDefault="00710327" w:rsidP="000E7718">
      <w:pPr>
        <w:pStyle w:val="NormalWeb"/>
        <w:numPr>
          <w:ilvl w:val="0"/>
          <w:numId w:val="49"/>
        </w:numPr>
        <w:spacing w:line="300" w:lineRule="auto"/>
        <w:contextualSpacing/>
        <w:jc w:val="both"/>
        <w:rPr>
          <w:rFonts w:ascii="Calibri" w:hAnsi="Calibri"/>
          <w:sz w:val="22"/>
          <w:szCs w:val="22"/>
        </w:rPr>
      </w:pPr>
      <w:r w:rsidRPr="00710327">
        <w:rPr>
          <w:rFonts w:ascii="Calibri" w:hAnsi="Calibri"/>
          <w:sz w:val="22"/>
          <w:szCs w:val="22"/>
        </w:rPr>
        <w:t>Asociaciones y Fundaciones de disminuidos, sin ánimo de lucro que cumplan con los requisitos establecidos en la Ley.</w:t>
      </w:r>
    </w:p>
    <w:p w:rsidR="00710327" w:rsidRPr="00710327" w:rsidRDefault="00710327" w:rsidP="000E7718">
      <w:pPr>
        <w:pStyle w:val="NormalWeb"/>
        <w:numPr>
          <w:ilvl w:val="0"/>
          <w:numId w:val="42"/>
        </w:numPr>
        <w:spacing w:line="300" w:lineRule="auto"/>
        <w:contextualSpacing/>
        <w:jc w:val="both"/>
        <w:rPr>
          <w:rFonts w:ascii="Calibri" w:hAnsi="Calibri"/>
          <w:sz w:val="22"/>
          <w:szCs w:val="22"/>
        </w:rPr>
      </w:pPr>
      <w:r w:rsidRPr="00710327">
        <w:rPr>
          <w:rFonts w:ascii="Calibri" w:hAnsi="Calibri"/>
          <w:sz w:val="22"/>
          <w:szCs w:val="22"/>
        </w:rPr>
        <w:t>La Cruz Roja Española</w:t>
      </w:r>
    </w:p>
    <w:p w:rsidR="00710327" w:rsidRDefault="00710327" w:rsidP="000E7718">
      <w:pPr>
        <w:pStyle w:val="NormalWeb"/>
        <w:numPr>
          <w:ilvl w:val="0"/>
          <w:numId w:val="42"/>
        </w:numPr>
        <w:spacing w:line="300" w:lineRule="auto"/>
        <w:contextualSpacing/>
        <w:jc w:val="both"/>
        <w:rPr>
          <w:rFonts w:ascii="Calibri" w:hAnsi="Calibri"/>
          <w:sz w:val="22"/>
          <w:szCs w:val="22"/>
        </w:rPr>
      </w:pPr>
      <w:r w:rsidRPr="00710327">
        <w:rPr>
          <w:rFonts w:ascii="Calibri" w:hAnsi="Calibri"/>
          <w:sz w:val="22"/>
          <w:szCs w:val="22"/>
        </w:rPr>
        <w:t>Otras exenciones reguladas en leyes especiales (fundaciones, puertos del estado, Banco de España, comunidades de aguas de Canarias, etc.)</w:t>
      </w:r>
    </w:p>
    <w:p w:rsidR="000E7718" w:rsidRDefault="000E7718" w:rsidP="000E7718">
      <w:pPr>
        <w:pStyle w:val="NormalWeb"/>
        <w:spacing w:line="300" w:lineRule="auto"/>
        <w:ind w:left="709"/>
        <w:contextualSpacing/>
        <w:jc w:val="both"/>
        <w:rPr>
          <w:rFonts w:ascii="Calibri" w:hAnsi="Calibri"/>
          <w:sz w:val="22"/>
          <w:szCs w:val="22"/>
        </w:rPr>
      </w:pPr>
    </w:p>
    <w:p w:rsidR="00710327" w:rsidRPr="00710327" w:rsidRDefault="00710327" w:rsidP="000E7718">
      <w:pPr>
        <w:pStyle w:val="NormalWeb"/>
        <w:spacing w:line="300" w:lineRule="auto"/>
        <w:ind w:left="709"/>
        <w:contextualSpacing/>
        <w:jc w:val="both"/>
        <w:rPr>
          <w:rFonts w:ascii="Calibri" w:hAnsi="Calibri"/>
          <w:sz w:val="22"/>
          <w:szCs w:val="22"/>
        </w:rPr>
      </w:pPr>
      <w:r>
        <w:rPr>
          <w:rFonts w:ascii="Calibri" w:hAnsi="Calibri"/>
          <w:sz w:val="22"/>
          <w:szCs w:val="22"/>
        </w:rPr>
        <w:t>CUOTA: LAS TARIFAS</w:t>
      </w:r>
    </w:p>
    <w:p w:rsidR="00710327" w:rsidRPr="00710327" w:rsidRDefault="00710327" w:rsidP="000E7718">
      <w:pPr>
        <w:pStyle w:val="NormalWeb"/>
        <w:spacing w:line="300" w:lineRule="auto"/>
        <w:ind w:left="708"/>
        <w:contextualSpacing/>
        <w:jc w:val="both"/>
        <w:rPr>
          <w:rFonts w:ascii="Calibri" w:hAnsi="Calibri"/>
          <w:sz w:val="22"/>
          <w:szCs w:val="22"/>
        </w:rPr>
      </w:pPr>
      <w:r w:rsidRPr="00710327">
        <w:rPr>
          <w:rFonts w:ascii="Calibri" w:hAnsi="Calibri"/>
          <w:sz w:val="22"/>
          <w:szCs w:val="22"/>
        </w:rPr>
        <w:t>La cuota tributaria será la resultante de aplicar las tarifas del impuesto, de acuerdo con los preceptos contenidos en la Ley Reguladora de las Haciendas Locales y en las disposiciones que la complementen y desarrollen, y los coeficientes y  las bonificaciones previstos por la Ley y, en su caso, acordados por cada Ayuntamiento y regulados en las ordenanzas fiscales respectivas.</w:t>
      </w:r>
    </w:p>
    <w:p w:rsidR="00710327" w:rsidRPr="00710327" w:rsidRDefault="00710327" w:rsidP="000E7718">
      <w:pPr>
        <w:pStyle w:val="NormalWeb"/>
        <w:spacing w:line="300" w:lineRule="auto"/>
        <w:ind w:left="708"/>
        <w:contextualSpacing/>
        <w:jc w:val="both"/>
        <w:rPr>
          <w:rFonts w:ascii="Calibri" w:hAnsi="Calibri"/>
          <w:sz w:val="22"/>
          <w:szCs w:val="22"/>
        </w:rPr>
      </w:pPr>
      <w:r w:rsidRPr="00710327">
        <w:rPr>
          <w:rFonts w:ascii="Calibri" w:hAnsi="Calibri"/>
          <w:sz w:val="22"/>
          <w:szCs w:val="22"/>
        </w:rPr>
        <w:t>Las Tarifas contienen una relación de las actividades gravadas, que intenta abarcar en la medida de lo posible todas las actividades económicas, fijando  las cuotas  mínimas municipales que corresponden a cada actividad gravada y que habilitarán a los sujetos pasivos para el ejercicio de dicha actividad en el respectivo término municipal. Las  Tarifas contienen también la Instrucción, que recoge las reglas de aplicación de dichas Tarifas y que se aprueba conjuntamente con las mismas mediante Real Decreto Legislativo, pudiendo ser actualizadas tanto aquellas como ésta por las Leyes de Presupuestos Generales del Estado.</w:t>
      </w:r>
    </w:p>
    <w:p w:rsidR="00710327" w:rsidRPr="00710327" w:rsidRDefault="00710327" w:rsidP="000E7718">
      <w:pPr>
        <w:pStyle w:val="NormalWeb"/>
        <w:spacing w:line="300" w:lineRule="auto"/>
        <w:ind w:left="708"/>
        <w:contextualSpacing/>
        <w:jc w:val="both"/>
        <w:rPr>
          <w:rFonts w:ascii="Calibri" w:hAnsi="Calibri"/>
          <w:sz w:val="22"/>
          <w:szCs w:val="22"/>
        </w:rPr>
      </w:pPr>
      <w:r w:rsidRPr="00710327">
        <w:rPr>
          <w:rFonts w:ascii="Calibri" w:hAnsi="Calibri"/>
          <w:sz w:val="22"/>
          <w:szCs w:val="22"/>
        </w:rPr>
        <w:t>Las cuotas mínimas del impuesto se determinan en función de una serie de elementos tributarios concurrentes en la actividad. Dichos elementos tributarios suelen ser entre otros los KW de potencia instalada, la población de derecho del municipio, la superficie de los locales afectos a la actividad, etc. Con la reforma de la Ley 51/2002 se ha eliminado como elemento tributario configurador de la cuota el número de obreros.</w:t>
      </w:r>
    </w:p>
    <w:p w:rsidR="00710327" w:rsidRPr="00710327" w:rsidRDefault="00710327" w:rsidP="000E7718">
      <w:pPr>
        <w:pStyle w:val="NormalWeb"/>
        <w:spacing w:line="300" w:lineRule="auto"/>
        <w:ind w:left="708"/>
        <w:contextualSpacing/>
        <w:jc w:val="both"/>
        <w:rPr>
          <w:rFonts w:ascii="Calibri" w:hAnsi="Calibri"/>
          <w:sz w:val="22"/>
          <w:szCs w:val="22"/>
        </w:rPr>
      </w:pPr>
      <w:r w:rsidRPr="00710327">
        <w:rPr>
          <w:rFonts w:ascii="Calibri" w:hAnsi="Calibri"/>
          <w:sz w:val="22"/>
          <w:szCs w:val="22"/>
        </w:rPr>
        <w:t>Las Tarifas del impuesto fijan además de las cuotas municipales, cuotas provinciales y naciona</w:t>
      </w:r>
      <w:r w:rsidR="00C20EC5">
        <w:rPr>
          <w:rFonts w:ascii="Calibri" w:hAnsi="Calibri"/>
          <w:sz w:val="22"/>
          <w:szCs w:val="22"/>
        </w:rPr>
        <w:t>les.</w:t>
      </w:r>
    </w:p>
    <w:p w:rsidR="00710327" w:rsidRPr="00710327" w:rsidRDefault="00710327" w:rsidP="000E7718">
      <w:pPr>
        <w:pStyle w:val="NormalWeb"/>
        <w:spacing w:line="300" w:lineRule="auto"/>
        <w:ind w:left="709"/>
        <w:contextualSpacing/>
        <w:jc w:val="both"/>
        <w:rPr>
          <w:rFonts w:ascii="Calibri" w:hAnsi="Calibri"/>
          <w:sz w:val="22"/>
          <w:szCs w:val="22"/>
        </w:rPr>
      </w:pPr>
      <w:r w:rsidRPr="00710327">
        <w:rPr>
          <w:rFonts w:ascii="Calibri" w:hAnsi="Calibri"/>
          <w:sz w:val="22"/>
          <w:szCs w:val="22"/>
        </w:rPr>
        <w:t xml:space="preserve">No obstante, las cuotas mínimas (municipales, provinciales y nacionales) se incrementarán en todo caso por el coeficiente de ponderación regulado en el artículo </w:t>
      </w:r>
      <w:r w:rsidRPr="00710327">
        <w:rPr>
          <w:rFonts w:ascii="Calibri" w:hAnsi="Calibri"/>
          <w:sz w:val="22"/>
          <w:szCs w:val="22"/>
        </w:rPr>
        <w:lastRenderedPageBreak/>
        <w:t xml:space="preserve">86 que se fija en función  de la cifra de negocios del sujeto pasivo. </w:t>
      </w:r>
      <w:r w:rsidR="00C20EC5">
        <w:rPr>
          <w:rFonts w:ascii="Calibri" w:hAnsi="Calibri"/>
          <w:sz w:val="22"/>
          <w:szCs w:val="22"/>
        </w:rPr>
        <w:t>El coeficiente oscila entre 1.29 y 1,31.</w:t>
      </w:r>
    </w:p>
    <w:p w:rsidR="00710327" w:rsidRPr="00710327" w:rsidRDefault="00710327" w:rsidP="000E7718">
      <w:pPr>
        <w:pStyle w:val="NormalWeb"/>
        <w:spacing w:line="300" w:lineRule="auto"/>
        <w:ind w:left="708"/>
        <w:contextualSpacing/>
        <w:jc w:val="both"/>
        <w:rPr>
          <w:rFonts w:ascii="Calibri" w:hAnsi="Calibri"/>
          <w:sz w:val="22"/>
          <w:szCs w:val="22"/>
        </w:rPr>
      </w:pPr>
      <w:r w:rsidRPr="00710327">
        <w:rPr>
          <w:rFonts w:ascii="Calibri" w:hAnsi="Calibri"/>
          <w:sz w:val="22"/>
          <w:szCs w:val="22"/>
        </w:rPr>
        <w:t>Además sobre las cuotas ya ponderadas por el coeficiente anterior, los Ayuntamientos podrán establecer una escala de coeficientes que tenga en cuenta la situación física del local afecto a la actividad dentro de cada término municipal, atendiendo a la categoría de la calle en que radique con los límites previstos en el artículo 87</w:t>
      </w:r>
      <w:r w:rsidR="00C20EC5">
        <w:rPr>
          <w:rFonts w:ascii="Calibri" w:hAnsi="Calibri"/>
          <w:sz w:val="22"/>
          <w:szCs w:val="22"/>
        </w:rPr>
        <w:t xml:space="preserve"> (dicho coeficiente no podrá ser inferior a 0,4 ni superior a 3,8)</w:t>
      </w:r>
    </w:p>
    <w:p w:rsidR="000E7718" w:rsidRDefault="00710327" w:rsidP="000E7718">
      <w:pPr>
        <w:pStyle w:val="NormalWeb"/>
        <w:spacing w:line="300" w:lineRule="auto"/>
        <w:ind w:left="708"/>
        <w:contextualSpacing/>
        <w:jc w:val="both"/>
        <w:rPr>
          <w:rFonts w:ascii="Calibri" w:hAnsi="Calibri"/>
          <w:sz w:val="22"/>
          <w:szCs w:val="22"/>
        </w:rPr>
      </w:pPr>
      <w:r w:rsidRPr="00710327">
        <w:rPr>
          <w:rFonts w:ascii="Calibri" w:hAnsi="Calibri"/>
          <w:sz w:val="22"/>
          <w:szCs w:val="22"/>
        </w:rPr>
        <w:t xml:space="preserve">Este último coeficiente de situación sólo es aplicable a las cuotas municipales, no se podrá aplicar a las provinciales, ni nacionales. </w:t>
      </w:r>
    </w:p>
    <w:p w:rsidR="00AC0CC5" w:rsidRDefault="00AC0CC5" w:rsidP="000E7718">
      <w:pPr>
        <w:pStyle w:val="NormalWeb"/>
        <w:spacing w:line="300" w:lineRule="auto"/>
        <w:ind w:left="708"/>
        <w:contextualSpacing/>
        <w:jc w:val="both"/>
        <w:rPr>
          <w:rFonts w:ascii="Calibri" w:hAnsi="Calibri"/>
          <w:sz w:val="22"/>
          <w:szCs w:val="22"/>
        </w:rPr>
      </w:pPr>
    </w:p>
    <w:p w:rsidR="000E7718" w:rsidRDefault="00C20EC5" w:rsidP="000E7718">
      <w:pPr>
        <w:pStyle w:val="NormalWeb"/>
        <w:spacing w:line="300" w:lineRule="auto"/>
        <w:ind w:left="708"/>
        <w:contextualSpacing/>
        <w:jc w:val="both"/>
        <w:rPr>
          <w:rFonts w:ascii="Calibri" w:hAnsi="Calibri"/>
          <w:sz w:val="22"/>
          <w:szCs w:val="22"/>
        </w:rPr>
      </w:pPr>
      <w:r>
        <w:rPr>
          <w:rFonts w:ascii="Calibri" w:hAnsi="Calibri"/>
          <w:sz w:val="22"/>
          <w:szCs w:val="22"/>
        </w:rPr>
        <w:t>BONIFICACIONES</w:t>
      </w:r>
    </w:p>
    <w:p w:rsidR="00710327" w:rsidRPr="000E7718" w:rsidRDefault="00710327" w:rsidP="000E7718">
      <w:pPr>
        <w:pStyle w:val="NormalWeb"/>
        <w:spacing w:line="300" w:lineRule="auto"/>
        <w:ind w:left="708"/>
        <w:contextualSpacing/>
        <w:jc w:val="both"/>
        <w:rPr>
          <w:rFonts w:ascii="Calibri" w:hAnsi="Calibri"/>
          <w:sz w:val="22"/>
          <w:szCs w:val="22"/>
        </w:rPr>
      </w:pPr>
      <w:r w:rsidRPr="00710327">
        <w:rPr>
          <w:sz w:val="22"/>
          <w:szCs w:val="22"/>
        </w:rPr>
        <w:t xml:space="preserve">El artículo 88 fija las bonificaciones del impuesto, tanto las obligatorias, como las potestativas mediante la oportuna ordenanza fiscal. </w:t>
      </w:r>
    </w:p>
    <w:p w:rsidR="00EF42A2" w:rsidRDefault="00EF42A2" w:rsidP="000E7718">
      <w:pPr>
        <w:ind w:left="708"/>
        <w:contextualSpacing/>
        <w:jc w:val="both"/>
      </w:pPr>
      <w:r>
        <w:t>Obligatorias:</w:t>
      </w:r>
    </w:p>
    <w:p w:rsidR="00EF42A2" w:rsidRDefault="00EF42A2" w:rsidP="000E7718">
      <w:pPr>
        <w:pStyle w:val="Prrafodelista"/>
        <w:numPr>
          <w:ilvl w:val="0"/>
          <w:numId w:val="42"/>
        </w:numPr>
        <w:jc w:val="both"/>
      </w:pPr>
      <w:r>
        <w:t xml:space="preserve">95% cuota y recargo </w:t>
      </w:r>
      <w:r w:rsidRPr="00710327">
        <w:t>Cooperativas y Sociedades Agrarias de Transformación</w:t>
      </w:r>
    </w:p>
    <w:p w:rsidR="00EF42A2" w:rsidRDefault="00EF42A2" w:rsidP="000E7718">
      <w:pPr>
        <w:pStyle w:val="Prrafodelista"/>
        <w:numPr>
          <w:ilvl w:val="0"/>
          <w:numId w:val="42"/>
        </w:numPr>
        <w:jc w:val="both"/>
      </w:pPr>
      <w:r>
        <w:t>50% de la cuota íntegra actividades</w:t>
      </w:r>
      <w:r w:rsidRPr="00710327">
        <w:t xml:space="preserve"> en Ceuta y Melilla</w:t>
      </w:r>
    </w:p>
    <w:p w:rsidR="00EF42A2" w:rsidRDefault="00EF42A2" w:rsidP="000E7718">
      <w:pPr>
        <w:pStyle w:val="Prrafodelista"/>
        <w:numPr>
          <w:ilvl w:val="0"/>
          <w:numId w:val="42"/>
        </w:numPr>
        <w:jc w:val="both"/>
      </w:pPr>
      <w:r>
        <w:t xml:space="preserve">50% </w:t>
      </w:r>
      <w:r w:rsidRPr="00710327">
        <w:t>los cinco años siguientes a los dos periodos impositivos iniciales exentos despué</w:t>
      </w:r>
      <w:r>
        <w:t>s de haber iniciado actividades profesionales</w:t>
      </w:r>
    </w:p>
    <w:p w:rsidR="00EF42A2" w:rsidRDefault="00EF42A2" w:rsidP="000E7718">
      <w:pPr>
        <w:ind w:left="709"/>
        <w:contextualSpacing/>
        <w:jc w:val="both"/>
      </w:pPr>
      <w:r>
        <w:t>Potestativas</w:t>
      </w:r>
      <w:r w:rsidR="00D76C60">
        <w:t xml:space="preserve"> mediante ordenanza:</w:t>
      </w:r>
    </w:p>
    <w:p w:rsidR="00EF42A2" w:rsidRDefault="00D76C60" w:rsidP="000E7718">
      <w:pPr>
        <w:pStyle w:val="Prrafodelista"/>
        <w:numPr>
          <w:ilvl w:val="0"/>
          <w:numId w:val="42"/>
        </w:numPr>
        <w:jc w:val="both"/>
      </w:pPr>
      <w:r>
        <w:t xml:space="preserve">Hasta el </w:t>
      </w:r>
      <w:r w:rsidR="00EF42A2">
        <w:t>50%</w:t>
      </w:r>
      <w:r>
        <w:t xml:space="preserve"> de la cuota correspondiente durante</w:t>
      </w:r>
      <w:r w:rsidR="00EF42A2">
        <w:t xml:space="preserve"> </w:t>
      </w:r>
      <w:r w:rsidR="00EF42A2" w:rsidRPr="00710327">
        <w:t>los cinco años siguientes a los dos periodos impositivos iniciales exentos despué</w:t>
      </w:r>
      <w:r w:rsidR="00EF42A2">
        <w:t>s de haber iniciado actividades empresariales</w:t>
      </w:r>
    </w:p>
    <w:p w:rsidR="00EF42A2" w:rsidRDefault="00EF42A2" w:rsidP="000E7718">
      <w:pPr>
        <w:pStyle w:val="Prrafodelista"/>
        <w:numPr>
          <w:ilvl w:val="0"/>
          <w:numId w:val="42"/>
        </w:numPr>
        <w:jc w:val="both"/>
      </w:pPr>
      <w:r>
        <w:t>Hasta el 50%</w:t>
      </w:r>
      <w:r w:rsidR="00D76C60">
        <w:t xml:space="preserve"> de la  cuota correspondiente</w:t>
      </w:r>
      <w:r>
        <w:t xml:space="preserve"> por </w:t>
      </w:r>
      <w:r w:rsidRPr="00710327">
        <w:t>creación de empleo</w:t>
      </w:r>
      <w:r>
        <w:t xml:space="preserve"> indefinido</w:t>
      </w:r>
    </w:p>
    <w:p w:rsidR="00EF42A2" w:rsidRDefault="00EF42A2" w:rsidP="000E7718">
      <w:pPr>
        <w:pStyle w:val="Prrafodelista"/>
        <w:numPr>
          <w:ilvl w:val="0"/>
          <w:numId w:val="42"/>
        </w:numPr>
        <w:jc w:val="both"/>
      </w:pPr>
      <w:r>
        <w:t>Hasta un 50%</w:t>
      </w:r>
      <w:r w:rsidR="00D76C60">
        <w:t xml:space="preserve"> de la</w:t>
      </w:r>
      <w:r>
        <w:t xml:space="preserve"> </w:t>
      </w:r>
      <w:r w:rsidR="00D76C60">
        <w:t xml:space="preserve">cuota correspondiente por </w:t>
      </w:r>
      <w:r w:rsidRPr="00710327">
        <w:t>la utilización o producción de energías renovables, la realización de actividades industriales fuera de núcleos poblados y el establecimiento de planes que fomenten un transporte de los trabajadores eficiente y menos contaminante</w:t>
      </w:r>
      <w:r w:rsidR="00D76C60">
        <w:t>.</w:t>
      </w:r>
    </w:p>
    <w:p w:rsidR="00D76C60" w:rsidRDefault="00D76C60" w:rsidP="000E7718">
      <w:pPr>
        <w:pStyle w:val="Prrafodelista"/>
        <w:numPr>
          <w:ilvl w:val="0"/>
          <w:numId w:val="42"/>
        </w:numPr>
        <w:jc w:val="both"/>
      </w:pPr>
      <w:r>
        <w:t>Hasta un 50 % de la  cuota correspondiente para empresas con rendimientos negativos o inferiores a la cantidad que determine la ordenanza fiscal</w:t>
      </w:r>
    </w:p>
    <w:p w:rsidR="00D76C60" w:rsidRDefault="00D76C60" w:rsidP="000E7718">
      <w:pPr>
        <w:pStyle w:val="Prrafodelista"/>
        <w:numPr>
          <w:ilvl w:val="0"/>
          <w:numId w:val="42"/>
        </w:numPr>
        <w:jc w:val="both"/>
      </w:pPr>
      <w:r>
        <w:t xml:space="preserve">Hasta el 95% de la cuota </w:t>
      </w:r>
      <w:r w:rsidRPr="00710327">
        <w:t>en favor de sujetos pasivos que tributen por cuota municipal y que desarrollen actividades económicas que sean declaradas de especial interés o utilidad municipal por concurrir circunstancias sociales, culturales, histórico artísticas o de fomento del empleo que justifiquen tal declaración. Corresponderá dicha declaración al Pleno de la Corporación y se acordará, previa solicitud del sujeto pasivo, por voto favorable de la mayoría simple de sus miembros.</w:t>
      </w:r>
    </w:p>
    <w:p w:rsidR="00D76C60" w:rsidRPr="00710327" w:rsidRDefault="00D76C60" w:rsidP="000E7718">
      <w:pPr>
        <w:pStyle w:val="Prrafodelista"/>
        <w:numPr>
          <w:ilvl w:val="0"/>
          <w:numId w:val="42"/>
        </w:numPr>
        <w:jc w:val="both"/>
      </w:pPr>
      <w:r>
        <w:t>Hasta un 5% de la cuota a favor de los sujetos pasivos que domicilien los pagos en una entidad financiera.</w:t>
      </w:r>
    </w:p>
    <w:p w:rsidR="00AC0CC5" w:rsidRDefault="00C20EC5" w:rsidP="00AC0CC5">
      <w:pPr>
        <w:ind w:left="708"/>
        <w:contextualSpacing/>
        <w:jc w:val="both"/>
      </w:pPr>
      <w:r>
        <w:t>DEVENGO Y PERIODO IMPOSITIVO</w:t>
      </w:r>
    </w:p>
    <w:p w:rsidR="000E7718" w:rsidRPr="00AC0CC5" w:rsidRDefault="00710327" w:rsidP="00AC0CC5">
      <w:pPr>
        <w:ind w:left="708"/>
        <w:contextualSpacing/>
        <w:jc w:val="both"/>
      </w:pPr>
      <w:r w:rsidRPr="00710327">
        <w:rPr>
          <w:rFonts w:ascii="Calibri" w:hAnsi="Calibri"/>
        </w:rPr>
        <w:lastRenderedPageBreak/>
        <w:t>El artículo 89 por su parte establece que el período impositivo coincide con el año natural, excepto cuando se trate de declaraciones de alta, en cuyo caso abarcará desde la fecha de comienzo de la actividad hasta el final del año natural.</w:t>
      </w:r>
    </w:p>
    <w:p w:rsidR="000E7718" w:rsidRDefault="000E7718" w:rsidP="000E7718">
      <w:pPr>
        <w:ind w:left="708"/>
        <w:contextualSpacing/>
        <w:jc w:val="both"/>
        <w:rPr>
          <w:rFonts w:ascii="Calibri" w:hAnsi="Calibri"/>
        </w:rPr>
      </w:pPr>
    </w:p>
    <w:p w:rsidR="00710327" w:rsidRPr="000E7718" w:rsidRDefault="00710327" w:rsidP="000E7718">
      <w:pPr>
        <w:ind w:left="708"/>
        <w:contextualSpacing/>
        <w:jc w:val="both"/>
      </w:pPr>
      <w:r w:rsidRPr="00710327">
        <w:rPr>
          <w:rFonts w:ascii="Calibri" w:hAnsi="Calibri"/>
        </w:rPr>
        <w:t>El impuesto se devenga el primer día del período impositivo y las cuotas serán irreducibles, salvo cuando, en los casos de declaración de alta, el día del comienzo de la actividad no coincida con el</w:t>
      </w:r>
      <w:r w:rsidR="00BA3BEB">
        <w:rPr>
          <w:rFonts w:ascii="Calibri" w:hAnsi="Calibri"/>
        </w:rPr>
        <w:t xml:space="preserve"> del</w:t>
      </w:r>
      <w:r w:rsidRPr="00710327">
        <w:rPr>
          <w:rFonts w:ascii="Calibri" w:hAnsi="Calibri"/>
        </w:rPr>
        <w:t xml:space="preserve"> año natural, en cuyo supuesto, las cuotas se calcularán proporcionalmente al número de trimestres naturales que restan para finalizar el año, incluido el del comienzo de la actividad.</w:t>
      </w:r>
    </w:p>
    <w:p w:rsidR="00710327" w:rsidRDefault="00710327" w:rsidP="000E7718">
      <w:pPr>
        <w:pStyle w:val="NormalWeb"/>
        <w:spacing w:line="300" w:lineRule="auto"/>
        <w:ind w:left="708"/>
        <w:contextualSpacing/>
        <w:jc w:val="both"/>
        <w:rPr>
          <w:rFonts w:ascii="Calibri" w:hAnsi="Calibri"/>
          <w:sz w:val="22"/>
          <w:szCs w:val="22"/>
        </w:rPr>
      </w:pPr>
      <w:r w:rsidRPr="00710327">
        <w:rPr>
          <w:rFonts w:ascii="Calibri" w:hAnsi="Calibri"/>
          <w:sz w:val="22"/>
          <w:szCs w:val="22"/>
        </w:rPr>
        <w:t>Asimismo y en el caso de baja por cese de la actividad, las cuotas se podrán  prorratear por trimestres naturales, excluido aquel en que se produzca dicho cese. A tal fin los sujetos pasivos podrán solicitar la devolución de la parte de la cuota correspondiente a los trimestres naturales en los que no se hubiere ejercido la actividad.</w:t>
      </w:r>
    </w:p>
    <w:p w:rsidR="000E7718" w:rsidRDefault="000E7718" w:rsidP="000E7718">
      <w:pPr>
        <w:pStyle w:val="NormalWeb"/>
        <w:spacing w:line="300" w:lineRule="auto"/>
        <w:ind w:left="708"/>
        <w:contextualSpacing/>
        <w:jc w:val="both"/>
        <w:rPr>
          <w:rFonts w:ascii="Calibri" w:hAnsi="Calibri"/>
          <w:sz w:val="22"/>
          <w:szCs w:val="22"/>
        </w:rPr>
      </w:pPr>
    </w:p>
    <w:p w:rsidR="00F85265" w:rsidRDefault="00F85265" w:rsidP="000E7718">
      <w:pPr>
        <w:pStyle w:val="NormalWeb"/>
        <w:spacing w:line="300" w:lineRule="auto"/>
        <w:ind w:left="708"/>
        <w:contextualSpacing/>
        <w:jc w:val="both"/>
        <w:rPr>
          <w:rFonts w:ascii="Calibri" w:hAnsi="Calibri"/>
          <w:sz w:val="22"/>
          <w:szCs w:val="22"/>
        </w:rPr>
      </w:pPr>
      <w:r>
        <w:rPr>
          <w:rFonts w:ascii="Calibri" w:hAnsi="Calibri"/>
          <w:sz w:val="22"/>
          <w:szCs w:val="22"/>
        </w:rPr>
        <w:t>GESTIÓN DEL IMPUESTO</w:t>
      </w:r>
    </w:p>
    <w:p w:rsidR="00F85265" w:rsidRDefault="00F85265" w:rsidP="000E7718">
      <w:pPr>
        <w:pStyle w:val="NormalWeb"/>
        <w:spacing w:line="300" w:lineRule="auto"/>
        <w:ind w:left="708"/>
        <w:contextualSpacing/>
        <w:jc w:val="both"/>
        <w:rPr>
          <w:rFonts w:ascii="Calibri" w:hAnsi="Calibri"/>
          <w:sz w:val="22"/>
          <w:szCs w:val="22"/>
        </w:rPr>
      </w:pPr>
      <w:r>
        <w:rPr>
          <w:rFonts w:ascii="Calibri" w:hAnsi="Calibri"/>
          <w:sz w:val="22"/>
          <w:szCs w:val="22"/>
        </w:rPr>
        <w:t>El IAE es un impuesto de gestión compartida, la gestión censal que incluye la elaboración del censo de actividades económicas y la matrícula del impuesto es competencia del Estado que también asume la inspección del impuesto. La gestión tributaria que comprende la liquidación (expedición de recibos a partir de la matrícula elaborada por el Estado</w:t>
      </w:r>
      <w:proofErr w:type="gramStart"/>
      <w:r>
        <w:rPr>
          <w:rFonts w:ascii="Calibri" w:hAnsi="Calibri"/>
          <w:sz w:val="22"/>
          <w:szCs w:val="22"/>
        </w:rPr>
        <w:t>) ,</w:t>
      </w:r>
      <w:proofErr w:type="gramEnd"/>
      <w:r>
        <w:rPr>
          <w:rFonts w:ascii="Calibri" w:hAnsi="Calibri"/>
          <w:sz w:val="22"/>
          <w:szCs w:val="22"/>
        </w:rPr>
        <w:t xml:space="preserve"> la recaudación y la concesión de exenciones y beneficios fiscales, es competencia de los Ayuntamientos. Las competencias estatales de gestión censal se pueden delegar en los Ayuntamientos o en otras entidades locales.</w:t>
      </w:r>
    </w:p>
    <w:p w:rsidR="000E7718" w:rsidRDefault="000E7718" w:rsidP="000E7718">
      <w:pPr>
        <w:pStyle w:val="NormalWeb"/>
        <w:spacing w:line="300" w:lineRule="auto"/>
        <w:ind w:left="708"/>
        <w:contextualSpacing/>
        <w:jc w:val="both"/>
        <w:rPr>
          <w:rFonts w:ascii="Calibri" w:hAnsi="Calibri"/>
          <w:sz w:val="22"/>
          <w:szCs w:val="22"/>
        </w:rPr>
      </w:pPr>
    </w:p>
    <w:p w:rsidR="00F85265" w:rsidRDefault="00F85265" w:rsidP="000E7718">
      <w:pPr>
        <w:pStyle w:val="NormalWeb"/>
        <w:spacing w:line="300" w:lineRule="auto"/>
        <w:ind w:left="708"/>
        <w:contextualSpacing/>
        <w:jc w:val="both"/>
        <w:rPr>
          <w:rFonts w:ascii="Calibri" w:hAnsi="Calibri"/>
          <w:sz w:val="22"/>
          <w:szCs w:val="22"/>
        </w:rPr>
      </w:pPr>
      <w:r>
        <w:rPr>
          <w:rFonts w:ascii="Calibri" w:hAnsi="Calibri"/>
          <w:sz w:val="22"/>
          <w:szCs w:val="22"/>
        </w:rPr>
        <w:t>RECARGO PROVINCIAL (ART. 134 TRLRHL)</w:t>
      </w:r>
    </w:p>
    <w:p w:rsidR="00F85265" w:rsidRDefault="00F85265" w:rsidP="000E7718">
      <w:pPr>
        <w:pStyle w:val="NormalWeb"/>
        <w:spacing w:line="300" w:lineRule="auto"/>
        <w:ind w:left="708"/>
        <w:contextualSpacing/>
        <w:jc w:val="both"/>
        <w:rPr>
          <w:rFonts w:ascii="Calibri" w:hAnsi="Calibri"/>
          <w:sz w:val="22"/>
          <w:szCs w:val="22"/>
        </w:rPr>
      </w:pPr>
      <w:r>
        <w:rPr>
          <w:rFonts w:ascii="Calibri" w:hAnsi="Calibri"/>
          <w:sz w:val="22"/>
          <w:szCs w:val="22"/>
        </w:rPr>
        <w:t>Las diputaciones provinciales podrán establecer un recargo sobre el IAE que consistirá en un porcentaje único que recaerá sobre las cuotas municipales (sobre provinciales y nacionales no habrá recargo) modificadas por la aplicación del coeficiente de ponderación previsto en el artículo 86 (en función de la cifra de negocios) y cuyo tipo no podrá ser superior al 40%.</w:t>
      </w:r>
    </w:p>
    <w:p w:rsidR="000D2A48" w:rsidRDefault="000D2A48" w:rsidP="00F85265">
      <w:pPr>
        <w:pStyle w:val="NormalWeb"/>
        <w:spacing w:line="300" w:lineRule="auto"/>
        <w:ind w:left="708"/>
        <w:jc w:val="both"/>
        <w:rPr>
          <w:rFonts w:ascii="Calibri" w:hAnsi="Calibri"/>
          <w:sz w:val="22"/>
          <w:szCs w:val="22"/>
        </w:rPr>
      </w:pPr>
    </w:p>
    <w:p w:rsidR="000D2A48" w:rsidRPr="00173DD1" w:rsidRDefault="000D2A48" w:rsidP="000D2A48">
      <w:pPr>
        <w:pStyle w:val="NormalWeb"/>
        <w:spacing w:line="300" w:lineRule="auto"/>
        <w:ind w:firstLine="709"/>
        <w:jc w:val="both"/>
        <w:rPr>
          <w:rFonts w:ascii="Calibri" w:hAnsi="Calibri"/>
          <w:b/>
          <w:bCs/>
          <w:i/>
          <w:iCs/>
        </w:rPr>
      </w:pPr>
      <w:r>
        <w:rPr>
          <w:rFonts w:ascii="Calibri" w:hAnsi="Calibri"/>
          <w:b/>
          <w:bCs/>
          <w:i/>
          <w:iCs/>
        </w:rPr>
        <w:t>DEUDA TRIBUTARIA</w:t>
      </w:r>
      <w:r w:rsidRPr="00173DD1">
        <w:rPr>
          <w:rFonts w:ascii="Calibri" w:hAnsi="Calibri"/>
          <w:b/>
          <w:bCs/>
          <w:i/>
          <w:iCs/>
        </w:rPr>
        <w:t xml:space="preserve"> IAE = CUOTA IAE + CUOTA RECARGO IAE  </w:t>
      </w:r>
    </w:p>
    <w:p w:rsidR="000D2A48" w:rsidRPr="00173DD1" w:rsidRDefault="000D2A48" w:rsidP="000D2A48">
      <w:pPr>
        <w:pStyle w:val="NormalWeb"/>
        <w:spacing w:line="300" w:lineRule="auto"/>
        <w:jc w:val="both"/>
        <w:rPr>
          <w:rFonts w:ascii="Calibri" w:hAnsi="Calibri"/>
          <w:b/>
          <w:bCs/>
          <w:i/>
          <w:iCs/>
        </w:rPr>
      </w:pPr>
      <w:r w:rsidRPr="00173DD1">
        <w:rPr>
          <w:rFonts w:ascii="Calibri" w:hAnsi="Calibri"/>
          <w:b/>
          <w:bCs/>
          <w:i/>
          <w:iCs/>
        </w:rPr>
        <w:t>CUOTA IAE = CUOTA TARIFA X COEF. PONDERACIÓN (ART 86) X  COEF. SITUACIÓN (ART 87, Si existe y sólo en cuotas munic</w:t>
      </w:r>
      <w:r>
        <w:rPr>
          <w:rFonts w:ascii="Calibri" w:hAnsi="Calibri"/>
          <w:b/>
          <w:bCs/>
          <w:i/>
          <w:iCs/>
        </w:rPr>
        <w:t xml:space="preserve">ipales) X (1- %BONIFICACIONES) (En su caso) </w:t>
      </w:r>
      <w:r w:rsidRPr="00173DD1">
        <w:rPr>
          <w:rFonts w:ascii="Calibri" w:hAnsi="Calibri"/>
          <w:b/>
          <w:bCs/>
          <w:i/>
          <w:iCs/>
        </w:rPr>
        <w:t>X PRORRATA</w:t>
      </w:r>
      <w:r>
        <w:rPr>
          <w:rFonts w:ascii="Calibri" w:hAnsi="Calibri"/>
          <w:b/>
          <w:bCs/>
          <w:i/>
          <w:iCs/>
        </w:rPr>
        <w:t xml:space="preserve"> (en su caso en el año de alta y de baja por trimestres</w:t>
      </w:r>
      <w:r w:rsidRPr="00173DD1">
        <w:rPr>
          <w:rFonts w:ascii="Calibri" w:hAnsi="Calibri"/>
          <w:b/>
          <w:bCs/>
          <w:i/>
          <w:iCs/>
        </w:rPr>
        <w:t>)</w:t>
      </w:r>
    </w:p>
    <w:p w:rsidR="000D2A48" w:rsidRPr="00173DD1" w:rsidRDefault="000D2A48" w:rsidP="000D2A48">
      <w:pPr>
        <w:pStyle w:val="NormalWeb"/>
        <w:spacing w:line="300" w:lineRule="auto"/>
        <w:ind w:firstLine="709"/>
        <w:jc w:val="both"/>
        <w:rPr>
          <w:rFonts w:ascii="Calibri" w:hAnsi="Calibri"/>
          <w:b/>
          <w:bCs/>
          <w:i/>
          <w:iCs/>
        </w:rPr>
      </w:pPr>
      <w:r w:rsidRPr="00173DD1">
        <w:rPr>
          <w:rFonts w:ascii="Calibri" w:hAnsi="Calibri"/>
          <w:b/>
          <w:bCs/>
          <w:i/>
          <w:iCs/>
        </w:rPr>
        <w:t xml:space="preserve">CUOTA RECARGO IAE (Sólo cuotas municipales)= CUOTA TARIFA X COEF. PONDERACIÓN (ART 86) X RECARGO PROVINCIAL </w:t>
      </w:r>
      <w:r>
        <w:rPr>
          <w:rFonts w:ascii="Calibri" w:hAnsi="Calibri"/>
          <w:b/>
          <w:bCs/>
          <w:i/>
          <w:iCs/>
        </w:rPr>
        <w:t>X (1-%BONIFICACIONES)</w:t>
      </w:r>
      <w:r w:rsidRPr="00A36191">
        <w:rPr>
          <w:rFonts w:ascii="Calibri" w:hAnsi="Calibri"/>
          <w:b/>
          <w:bCs/>
          <w:i/>
          <w:iCs/>
        </w:rPr>
        <w:t xml:space="preserve"> </w:t>
      </w:r>
      <w:r>
        <w:rPr>
          <w:rFonts w:ascii="Calibri" w:hAnsi="Calibri"/>
          <w:b/>
          <w:bCs/>
          <w:i/>
          <w:iCs/>
        </w:rPr>
        <w:t>(sólo Coop. y SAT</w:t>
      </w:r>
      <w:r w:rsidRPr="00173DD1">
        <w:rPr>
          <w:rFonts w:ascii="Calibri" w:hAnsi="Calibri"/>
          <w:b/>
          <w:bCs/>
          <w:i/>
          <w:iCs/>
        </w:rPr>
        <w:t>)</w:t>
      </w:r>
      <w:r>
        <w:rPr>
          <w:rFonts w:ascii="Calibri" w:hAnsi="Calibri"/>
          <w:b/>
          <w:bCs/>
          <w:i/>
          <w:iCs/>
        </w:rPr>
        <w:t xml:space="preserve"> </w:t>
      </w:r>
      <w:r w:rsidRPr="00173DD1">
        <w:rPr>
          <w:rFonts w:ascii="Calibri" w:hAnsi="Calibri"/>
          <w:b/>
          <w:bCs/>
          <w:i/>
          <w:iCs/>
        </w:rPr>
        <w:t>X PRORRATA</w:t>
      </w:r>
      <w:r>
        <w:rPr>
          <w:rFonts w:ascii="Calibri" w:hAnsi="Calibri"/>
          <w:b/>
          <w:bCs/>
          <w:i/>
          <w:iCs/>
        </w:rPr>
        <w:t xml:space="preserve"> (</w:t>
      </w:r>
      <w:r w:rsidRPr="00173DD1">
        <w:rPr>
          <w:rFonts w:ascii="Calibri" w:hAnsi="Calibri"/>
          <w:b/>
          <w:bCs/>
          <w:i/>
          <w:iCs/>
        </w:rPr>
        <w:t>En su caso)</w:t>
      </w:r>
    </w:p>
    <w:sectPr w:rsidR="000D2A48" w:rsidRPr="00173DD1" w:rsidSect="0001450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3AB8"/>
    <w:multiLevelType w:val="multilevel"/>
    <w:tmpl w:val="C22E0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18325D6"/>
    <w:multiLevelType w:val="hybridMultilevel"/>
    <w:tmpl w:val="7834E270"/>
    <w:lvl w:ilvl="0" w:tplc="6EAC3E6E">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
    <w:nsid w:val="03BB4B4A"/>
    <w:multiLevelType w:val="hybridMultilevel"/>
    <w:tmpl w:val="D9AC30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78F18C0"/>
    <w:multiLevelType w:val="hybridMultilevel"/>
    <w:tmpl w:val="BEC65B86"/>
    <w:lvl w:ilvl="0" w:tplc="20AAA1D4">
      <w:numFmt w:val="bullet"/>
      <w:lvlText w:val="-"/>
      <w:lvlJc w:val="left"/>
      <w:pPr>
        <w:ind w:left="1004" w:hanging="360"/>
      </w:pPr>
      <w:rPr>
        <w:rFonts w:ascii="Calibri" w:eastAsiaTheme="minorHAnsi" w:hAnsi="Calibri" w:cstheme="minorBid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nsid w:val="093B5563"/>
    <w:multiLevelType w:val="hybridMultilevel"/>
    <w:tmpl w:val="5CE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B851327"/>
    <w:multiLevelType w:val="hybridMultilevel"/>
    <w:tmpl w:val="EDE642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0CD329FC"/>
    <w:multiLevelType w:val="hybridMultilevel"/>
    <w:tmpl w:val="4CC6AC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1644D54"/>
    <w:multiLevelType w:val="hybridMultilevel"/>
    <w:tmpl w:val="CD4C6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7E601BD"/>
    <w:multiLevelType w:val="hybridMultilevel"/>
    <w:tmpl w:val="F6E436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86F01CB"/>
    <w:multiLevelType w:val="hybridMultilevel"/>
    <w:tmpl w:val="0F76A0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9E6402A"/>
    <w:multiLevelType w:val="hybridMultilevel"/>
    <w:tmpl w:val="AF0861E4"/>
    <w:lvl w:ilvl="0" w:tplc="DD302E6E">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A0431FF"/>
    <w:multiLevelType w:val="hybridMultilevel"/>
    <w:tmpl w:val="7EE80DE6"/>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2">
    <w:nsid w:val="1C785C5A"/>
    <w:multiLevelType w:val="hybridMultilevel"/>
    <w:tmpl w:val="0CE2B17C"/>
    <w:lvl w:ilvl="0" w:tplc="0F4E768A">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nsid w:val="1D1563C8"/>
    <w:multiLevelType w:val="hybridMultilevel"/>
    <w:tmpl w:val="C276CAE2"/>
    <w:lvl w:ilvl="0" w:tplc="2730DDAC">
      <w:start w:val="1"/>
      <w:numFmt w:val="lowerLetter"/>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14">
    <w:nsid w:val="1F3F5DC6"/>
    <w:multiLevelType w:val="hybridMultilevel"/>
    <w:tmpl w:val="383E2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0255E64"/>
    <w:multiLevelType w:val="hybridMultilevel"/>
    <w:tmpl w:val="7834E270"/>
    <w:lvl w:ilvl="0" w:tplc="6EAC3E6E">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6">
    <w:nsid w:val="22414007"/>
    <w:multiLevelType w:val="hybridMultilevel"/>
    <w:tmpl w:val="B9100EF4"/>
    <w:lvl w:ilvl="0" w:tplc="A622D0B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25F26CA2"/>
    <w:multiLevelType w:val="hybridMultilevel"/>
    <w:tmpl w:val="E53AA6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1AC5D0F"/>
    <w:multiLevelType w:val="hybridMultilevel"/>
    <w:tmpl w:val="BC2EDB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2C5774A"/>
    <w:multiLevelType w:val="hybridMultilevel"/>
    <w:tmpl w:val="AD3C62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8B4063D"/>
    <w:multiLevelType w:val="hybridMultilevel"/>
    <w:tmpl w:val="7E9CC8C6"/>
    <w:lvl w:ilvl="0" w:tplc="3202CBF2">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1">
    <w:nsid w:val="38D90F9E"/>
    <w:multiLevelType w:val="hybridMultilevel"/>
    <w:tmpl w:val="0066896E"/>
    <w:lvl w:ilvl="0" w:tplc="472CB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3CDD22FB"/>
    <w:multiLevelType w:val="hybridMultilevel"/>
    <w:tmpl w:val="CF7AFF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063539D"/>
    <w:multiLevelType w:val="hybridMultilevel"/>
    <w:tmpl w:val="7834E270"/>
    <w:lvl w:ilvl="0" w:tplc="6EAC3E6E">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4">
    <w:nsid w:val="41D953CB"/>
    <w:multiLevelType w:val="hybridMultilevel"/>
    <w:tmpl w:val="B7DAB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41FF02BA"/>
    <w:multiLevelType w:val="hybridMultilevel"/>
    <w:tmpl w:val="51603B94"/>
    <w:lvl w:ilvl="0" w:tplc="DE12FF92">
      <w:start w:val="1"/>
      <w:numFmt w:val="lowerLetter"/>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26">
    <w:nsid w:val="436B33FC"/>
    <w:multiLevelType w:val="hybridMultilevel"/>
    <w:tmpl w:val="7834E270"/>
    <w:lvl w:ilvl="0" w:tplc="6EAC3E6E">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7">
    <w:nsid w:val="448A24FA"/>
    <w:multiLevelType w:val="hybridMultilevel"/>
    <w:tmpl w:val="E070E05E"/>
    <w:lvl w:ilvl="0" w:tplc="1682F29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nsid w:val="44A541D9"/>
    <w:multiLevelType w:val="hybridMultilevel"/>
    <w:tmpl w:val="4A3064AA"/>
    <w:lvl w:ilvl="0" w:tplc="2FECCA92">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48B20893"/>
    <w:multiLevelType w:val="hybridMultilevel"/>
    <w:tmpl w:val="5F14129A"/>
    <w:lvl w:ilvl="0" w:tplc="4C74807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nsid w:val="4B960B2B"/>
    <w:multiLevelType w:val="hybridMultilevel"/>
    <w:tmpl w:val="C8144F2E"/>
    <w:lvl w:ilvl="0" w:tplc="EC9828A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4D852F91"/>
    <w:multiLevelType w:val="hybridMultilevel"/>
    <w:tmpl w:val="ABE61A36"/>
    <w:lvl w:ilvl="0" w:tplc="7E3E77DC">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2">
    <w:nsid w:val="52A37DE9"/>
    <w:multiLevelType w:val="hybridMultilevel"/>
    <w:tmpl w:val="56F45C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533612D9"/>
    <w:multiLevelType w:val="hybridMultilevel"/>
    <w:tmpl w:val="7834E270"/>
    <w:lvl w:ilvl="0" w:tplc="6EAC3E6E">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34">
    <w:nsid w:val="5B1A4CBA"/>
    <w:multiLevelType w:val="hybridMultilevel"/>
    <w:tmpl w:val="8CD0A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63575539"/>
    <w:multiLevelType w:val="hybridMultilevel"/>
    <w:tmpl w:val="87901B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69D01256"/>
    <w:multiLevelType w:val="hybridMultilevel"/>
    <w:tmpl w:val="7834E270"/>
    <w:lvl w:ilvl="0" w:tplc="6EAC3E6E">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37">
    <w:nsid w:val="69D71E6C"/>
    <w:multiLevelType w:val="hybridMultilevel"/>
    <w:tmpl w:val="178E1B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69F65C96"/>
    <w:multiLevelType w:val="hybridMultilevel"/>
    <w:tmpl w:val="11E4C236"/>
    <w:lvl w:ilvl="0" w:tplc="307C652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9">
    <w:nsid w:val="6D1B7190"/>
    <w:multiLevelType w:val="hybridMultilevel"/>
    <w:tmpl w:val="69323AF8"/>
    <w:lvl w:ilvl="0" w:tplc="7924F908">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40">
    <w:nsid w:val="6E895FEA"/>
    <w:multiLevelType w:val="hybridMultilevel"/>
    <w:tmpl w:val="D49A8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EC67995"/>
    <w:multiLevelType w:val="hybridMultilevel"/>
    <w:tmpl w:val="6136D0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0FE1290"/>
    <w:multiLevelType w:val="hybridMultilevel"/>
    <w:tmpl w:val="25B62310"/>
    <w:lvl w:ilvl="0" w:tplc="BBAE9DA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3">
    <w:nsid w:val="71603FB9"/>
    <w:multiLevelType w:val="hybridMultilevel"/>
    <w:tmpl w:val="AE64A638"/>
    <w:lvl w:ilvl="0" w:tplc="3FFC0FCE">
      <w:numFmt w:val="bullet"/>
      <w:lvlText w:val="-"/>
      <w:lvlJc w:val="left"/>
      <w:pPr>
        <w:ind w:left="1004" w:hanging="360"/>
      </w:pPr>
      <w:rPr>
        <w:rFonts w:ascii="Calibri" w:eastAsiaTheme="minorHAnsi" w:hAnsi="Calibri" w:cstheme="minorBid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4">
    <w:nsid w:val="71BE6019"/>
    <w:multiLevelType w:val="hybridMultilevel"/>
    <w:tmpl w:val="7834E270"/>
    <w:lvl w:ilvl="0" w:tplc="6EAC3E6E">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45">
    <w:nsid w:val="774B5B1C"/>
    <w:multiLevelType w:val="hybridMultilevel"/>
    <w:tmpl w:val="2B1886D0"/>
    <w:lvl w:ilvl="0" w:tplc="CB9A657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46">
    <w:nsid w:val="7B234E92"/>
    <w:multiLevelType w:val="hybridMultilevel"/>
    <w:tmpl w:val="7834E270"/>
    <w:lvl w:ilvl="0" w:tplc="6EAC3E6E">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47">
    <w:nsid w:val="7B3D3835"/>
    <w:multiLevelType w:val="hybridMultilevel"/>
    <w:tmpl w:val="E9BC79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7F716920"/>
    <w:multiLevelType w:val="hybridMultilevel"/>
    <w:tmpl w:val="51E8A8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1"/>
  </w:num>
  <w:num w:numId="3">
    <w:abstractNumId w:val="14"/>
  </w:num>
  <w:num w:numId="4">
    <w:abstractNumId w:val="6"/>
  </w:num>
  <w:num w:numId="5">
    <w:abstractNumId w:val="17"/>
  </w:num>
  <w:num w:numId="6">
    <w:abstractNumId w:val="37"/>
  </w:num>
  <w:num w:numId="7">
    <w:abstractNumId w:val="8"/>
  </w:num>
  <w:num w:numId="8">
    <w:abstractNumId w:val="22"/>
  </w:num>
  <w:num w:numId="9">
    <w:abstractNumId w:val="34"/>
  </w:num>
  <w:num w:numId="10">
    <w:abstractNumId w:val="30"/>
  </w:num>
  <w:num w:numId="11">
    <w:abstractNumId w:val="40"/>
  </w:num>
  <w:num w:numId="12">
    <w:abstractNumId w:val="27"/>
  </w:num>
  <w:num w:numId="13">
    <w:abstractNumId w:val="11"/>
  </w:num>
  <w:num w:numId="14">
    <w:abstractNumId w:val="24"/>
  </w:num>
  <w:num w:numId="15">
    <w:abstractNumId w:val="2"/>
  </w:num>
  <w:num w:numId="16">
    <w:abstractNumId w:val="47"/>
  </w:num>
  <w:num w:numId="17">
    <w:abstractNumId w:val="9"/>
  </w:num>
  <w:num w:numId="18">
    <w:abstractNumId w:val="7"/>
  </w:num>
  <w:num w:numId="19">
    <w:abstractNumId w:val="41"/>
  </w:num>
  <w:num w:numId="20">
    <w:abstractNumId w:val="32"/>
  </w:num>
  <w:num w:numId="21">
    <w:abstractNumId w:val="48"/>
  </w:num>
  <w:num w:numId="22">
    <w:abstractNumId w:val="18"/>
  </w:num>
  <w:num w:numId="23">
    <w:abstractNumId w:val="4"/>
  </w:num>
  <w:num w:numId="24">
    <w:abstractNumId w:val="19"/>
  </w:num>
  <w:num w:numId="25">
    <w:abstractNumId w:val="35"/>
  </w:num>
  <w:num w:numId="26">
    <w:abstractNumId w:val="5"/>
  </w:num>
  <w:num w:numId="27">
    <w:abstractNumId w:val="28"/>
  </w:num>
  <w:num w:numId="28">
    <w:abstractNumId w:val="10"/>
  </w:num>
  <w:num w:numId="29">
    <w:abstractNumId w:val="42"/>
  </w:num>
  <w:num w:numId="30">
    <w:abstractNumId w:val="45"/>
  </w:num>
  <w:num w:numId="31">
    <w:abstractNumId w:val="12"/>
  </w:num>
  <w:num w:numId="32">
    <w:abstractNumId w:val="38"/>
  </w:num>
  <w:num w:numId="33">
    <w:abstractNumId w:val="43"/>
  </w:num>
  <w:num w:numId="34">
    <w:abstractNumId w:val="25"/>
  </w:num>
  <w:num w:numId="35">
    <w:abstractNumId w:val="13"/>
  </w:num>
  <w:num w:numId="36">
    <w:abstractNumId w:val="16"/>
  </w:num>
  <w:num w:numId="37">
    <w:abstractNumId w:val="29"/>
  </w:num>
  <w:num w:numId="38">
    <w:abstractNumId w:val="3"/>
  </w:num>
  <w:num w:numId="39">
    <w:abstractNumId w:val="39"/>
  </w:num>
  <w:num w:numId="40">
    <w:abstractNumId w:val="20"/>
  </w:num>
  <w:num w:numId="41">
    <w:abstractNumId w:val="31"/>
  </w:num>
  <w:num w:numId="42">
    <w:abstractNumId w:val="33"/>
  </w:num>
  <w:num w:numId="43">
    <w:abstractNumId w:val="23"/>
  </w:num>
  <w:num w:numId="44">
    <w:abstractNumId w:val="44"/>
  </w:num>
  <w:num w:numId="45">
    <w:abstractNumId w:val="36"/>
  </w:num>
  <w:num w:numId="46">
    <w:abstractNumId w:val="15"/>
  </w:num>
  <w:num w:numId="47">
    <w:abstractNumId w:val="46"/>
  </w:num>
  <w:num w:numId="48">
    <w:abstractNumId w:val="1"/>
  </w:num>
  <w:num w:numId="4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9"/>
  <w:hyphenationZone w:val="425"/>
  <w:characterSpacingControl w:val="doNotCompress"/>
  <w:compat/>
  <w:rsids>
    <w:rsidRoot w:val="001425F0"/>
    <w:rsid w:val="00001D3D"/>
    <w:rsid w:val="00014507"/>
    <w:rsid w:val="0003012E"/>
    <w:rsid w:val="00035E51"/>
    <w:rsid w:val="00046B9A"/>
    <w:rsid w:val="00087E61"/>
    <w:rsid w:val="000B0D9E"/>
    <w:rsid w:val="000B56F3"/>
    <w:rsid w:val="000D2A48"/>
    <w:rsid w:val="000E7718"/>
    <w:rsid w:val="00102231"/>
    <w:rsid w:val="00106424"/>
    <w:rsid w:val="001301FC"/>
    <w:rsid w:val="00140736"/>
    <w:rsid w:val="001425F0"/>
    <w:rsid w:val="00151FA6"/>
    <w:rsid w:val="00163846"/>
    <w:rsid w:val="00197EF8"/>
    <w:rsid w:val="001B7C3D"/>
    <w:rsid w:val="001F4CB4"/>
    <w:rsid w:val="00213BDD"/>
    <w:rsid w:val="002406CF"/>
    <w:rsid w:val="00254D7B"/>
    <w:rsid w:val="00273165"/>
    <w:rsid w:val="00281C09"/>
    <w:rsid w:val="0029465D"/>
    <w:rsid w:val="00312B8A"/>
    <w:rsid w:val="003174DA"/>
    <w:rsid w:val="003177D0"/>
    <w:rsid w:val="00344759"/>
    <w:rsid w:val="00373130"/>
    <w:rsid w:val="00374D49"/>
    <w:rsid w:val="003A01B5"/>
    <w:rsid w:val="003C6D53"/>
    <w:rsid w:val="003E1C3F"/>
    <w:rsid w:val="00405851"/>
    <w:rsid w:val="0042212A"/>
    <w:rsid w:val="0045102D"/>
    <w:rsid w:val="0047513A"/>
    <w:rsid w:val="00485A7F"/>
    <w:rsid w:val="00486D13"/>
    <w:rsid w:val="004A4F8D"/>
    <w:rsid w:val="004B0ED2"/>
    <w:rsid w:val="004B3BE1"/>
    <w:rsid w:val="004D3EB8"/>
    <w:rsid w:val="004F7288"/>
    <w:rsid w:val="005045F2"/>
    <w:rsid w:val="00522A10"/>
    <w:rsid w:val="005341E3"/>
    <w:rsid w:val="00545DF1"/>
    <w:rsid w:val="00555485"/>
    <w:rsid w:val="00556439"/>
    <w:rsid w:val="00580BFB"/>
    <w:rsid w:val="0058300C"/>
    <w:rsid w:val="00584F84"/>
    <w:rsid w:val="0059145A"/>
    <w:rsid w:val="005C6F67"/>
    <w:rsid w:val="005E2C6D"/>
    <w:rsid w:val="005F261C"/>
    <w:rsid w:val="006019CF"/>
    <w:rsid w:val="00604A40"/>
    <w:rsid w:val="006161AE"/>
    <w:rsid w:val="0062002C"/>
    <w:rsid w:val="00624E74"/>
    <w:rsid w:val="00642E10"/>
    <w:rsid w:val="00675C4E"/>
    <w:rsid w:val="006C4A18"/>
    <w:rsid w:val="006F2CD8"/>
    <w:rsid w:val="00710327"/>
    <w:rsid w:val="007156AB"/>
    <w:rsid w:val="00720D39"/>
    <w:rsid w:val="00722C78"/>
    <w:rsid w:val="00762FCA"/>
    <w:rsid w:val="007631B2"/>
    <w:rsid w:val="00766F1D"/>
    <w:rsid w:val="00777478"/>
    <w:rsid w:val="007C00CE"/>
    <w:rsid w:val="007D18DE"/>
    <w:rsid w:val="007E4A1D"/>
    <w:rsid w:val="007F1F06"/>
    <w:rsid w:val="0080123A"/>
    <w:rsid w:val="00810A1B"/>
    <w:rsid w:val="0081155E"/>
    <w:rsid w:val="0085767A"/>
    <w:rsid w:val="00880F95"/>
    <w:rsid w:val="008840B0"/>
    <w:rsid w:val="008938CD"/>
    <w:rsid w:val="008B59AD"/>
    <w:rsid w:val="008C4625"/>
    <w:rsid w:val="008D1241"/>
    <w:rsid w:val="009128C3"/>
    <w:rsid w:val="00923CF3"/>
    <w:rsid w:val="00962F67"/>
    <w:rsid w:val="00964483"/>
    <w:rsid w:val="00967D87"/>
    <w:rsid w:val="00971481"/>
    <w:rsid w:val="0098467F"/>
    <w:rsid w:val="0098761E"/>
    <w:rsid w:val="009A59B5"/>
    <w:rsid w:val="009B7874"/>
    <w:rsid w:val="009D6FCD"/>
    <w:rsid w:val="00A06C9D"/>
    <w:rsid w:val="00A221A9"/>
    <w:rsid w:val="00A46FF8"/>
    <w:rsid w:val="00A5034F"/>
    <w:rsid w:val="00A707AF"/>
    <w:rsid w:val="00A718DA"/>
    <w:rsid w:val="00A959C5"/>
    <w:rsid w:val="00AC02F7"/>
    <w:rsid w:val="00AC0CC5"/>
    <w:rsid w:val="00AC635C"/>
    <w:rsid w:val="00AF7FB6"/>
    <w:rsid w:val="00B12FD0"/>
    <w:rsid w:val="00B27C67"/>
    <w:rsid w:val="00B50D0D"/>
    <w:rsid w:val="00B810B4"/>
    <w:rsid w:val="00BA3BEB"/>
    <w:rsid w:val="00BA6408"/>
    <w:rsid w:val="00BC5433"/>
    <w:rsid w:val="00BE5257"/>
    <w:rsid w:val="00BE5F6D"/>
    <w:rsid w:val="00C12724"/>
    <w:rsid w:val="00C20EC5"/>
    <w:rsid w:val="00C70D50"/>
    <w:rsid w:val="00C73A33"/>
    <w:rsid w:val="00C75751"/>
    <w:rsid w:val="00CB45A0"/>
    <w:rsid w:val="00CC1FD4"/>
    <w:rsid w:val="00CD7F60"/>
    <w:rsid w:val="00CE484F"/>
    <w:rsid w:val="00CE6EEC"/>
    <w:rsid w:val="00D21D61"/>
    <w:rsid w:val="00D44940"/>
    <w:rsid w:val="00D44C13"/>
    <w:rsid w:val="00D76C60"/>
    <w:rsid w:val="00D8269A"/>
    <w:rsid w:val="00D94026"/>
    <w:rsid w:val="00DB5CF7"/>
    <w:rsid w:val="00DC682F"/>
    <w:rsid w:val="00DE7961"/>
    <w:rsid w:val="00E0533F"/>
    <w:rsid w:val="00E13A24"/>
    <w:rsid w:val="00E84BF4"/>
    <w:rsid w:val="00E87662"/>
    <w:rsid w:val="00E9082D"/>
    <w:rsid w:val="00ED4C4D"/>
    <w:rsid w:val="00EF42A2"/>
    <w:rsid w:val="00F052F6"/>
    <w:rsid w:val="00F43E55"/>
    <w:rsid w:val="00F6565E"/>
    <w:rsid w:val="00F6635F"/>
    <w:rsid w:val="00F74156"/>
    <w:rsid w:val="00F848C0"/>
    <w:rsid w:val="00F85265"/>
    <w:rsid w:val="00FA52E7"/>
    <w:rsid w:val="00FB0DBD"/>
    <w:rsid w:val="00FC5CC8"/>
    <w:rsid w:val="00FD557B"/>
    <w:rsid w:val="00FF753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507"/>
  </w:style>
  <w:style w:type="paragraph" w:styleId="Ttulo2">
    <w:name w:val="heading 2"/>
    <w:basedOn w:val="Normal"/>
    <w:next w:val="Normal"/>
    <w:link w:val="Ttulo2Car"/>
    <w:uiPriority w:val="9"/>
    <w:unhideWhenUsed/>
    <w:qFormat/>
    <w:rsid w:val="001425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425F0"/>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1425F0"/>
    <w:pPr>
      <w:ind w:left="720"/>
      <w:contextualSpacing/>
    </w:pPr>
  </w:style>
  <w:style w:type="paragraph" w:styleId="NormalWeb">
    <w:name w:val="Normal (Web)"/>
    <w:basedOn w:val="Normal"/>
    <w:uiPriority w:val="99"/>
    <w:rsid w:val="00710327"/>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2A211-A55D-4AEE-A1D6-DDDC228A1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1027</TotalTime>
  <Pages>8</Pages>
  <Words>3011</Words>
  <Characters>16566</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Fernando</cp:lastModifiedBy>
  <cp:revision>56</cp:revision>
  <dcterms:created xsi:type="dcterms:W3CDTF">2016-05-02T17:28:00Z</dcterms:created>
  <dcterms:modified xsi:type="dcterms:W3CDTF">2019-02-28T11:15:00Z</dcterms:modified>
</cp:coreProperties>
</file>